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252B" w14:textId="77777777" w:rsidR="0027668B" w:rsidRPr="00DE1427" w:rsidRDefault="00945962" w:rsidP="0089653F">
      <w:pPr>
        <w:spacing w:before="100"/>
        <w:ind w:left="1060" w:right="425"/>
        <w:jc w:val="both"/>
        <w:rPr>
          <w:rFonts w:ascii="Cambria"/>
          <w:i/>
        </w:rPr>
      </w:pPr>
      <w:r w:rsidRPr="00DE1427">
        <w:rPr>
          <w:rFonts w:ascii="Cambria"/>
          <w:i/>
        </w:rPr>
        <w:t>The information contained within this announcement is deemed by the Company to constitute inside information as stipulated under the Market Abuse Regulations (EU) No. 596/2014 ("MAR"). With the publication of this announcement via a Regulatory Information Service, this inside information is now considered to be in the public domain.</w:t>
      </w:r>
    </w:p>
    <w:p w14:paraId="3C1DD796" w14:textId="77777777" w:rsidR="0027668B" w:rsidRDefault="0027668B">
      <w:pPr>
        <w:pStyle w:val="BodyText"/>
        <w:spacing w:before="11"/>
        <w:rPr>
          <w:rFonts w:ascii="Cambria"/>
          <w:i/>
          <w:sz w:val="24"/>
        </w:rPr>
      </w:pPr>
    </w:p>
    <w:p w14:paraId="5FE45DCC" w14:textId="54A4F225" w:rsidR="0027668B" w:rsidRDefault="00BD6410">
      <w:pPr>
        <w:ind w:left="1060"/>
        <w:jc w:val="both"/>
        <w:rPr>
          <w:b/>
          <w:sz w:val="24"/>
        </w:rPr>
      </w:pPr>
      <w:r>
        <w:rPr>
          <w:b/>
          <w:sz w:val="24"/>
        </w:rPr>
        <w:t xml:space="preserve">01 November </w:t>
      </w:r>
      <w:r w:rsidR="00945962">
        <w:rPr>
          <w:b/>
          <w:sz w:val="24"/>
        </w:rPr>
        <w:t>202</w:t>
      </w:r>
      <w:r w:rsidR="00797913">
        <w:rPr>
          <w:b/>
          <w:sz w:val="24"/>
        </w:rPr>
        <w:t>1</w:t>
      </w:r>
    </w:p>
    <w:p w14:paraId="56EF3FD0" w14:textId="77777777" w:rsidR="0027668B" w:rsidRDefault="0027668B">
      <w:pPr>
        <w:pStyle w:val="BodyText"/>
        <w:spacing w:before="7"/>
        <w:rPr>
          <w:b/>
        </w:rPr>
      </w:pPr>
    </w:p>
    <w:p w14:paraId="336FED33" w14:textId="0A9C4DA2" w:rsidR="0027668B" w:rsidRDefault="00153068">
      <w:pPr>
        <w:pStyle w:val="Heading1"/>
        <w:ind w:left="2651" w:right="3229"/>
        <w:jc w:val="center"/>
      </w:pPr>
      <w:r>
        <w:t>Harland &amp; Wolff Group Holdings plc</w:t>
      </w:r>
    </w:p>
    <w:p w14:paraId="67EB80D0" w14:textId="08CA7E63" w:rsidR="0027668B" w:rsidRDefault="00945962">
      <w:pPr>
        <w:ind w:left="2651" w:right="3234"/>
        <w:jc w:val="center"/>
        <w:rPr>
          <w:b/>
        </w:rPr>
      </w:pPr>
      <w:r>
        <w:rPr>
          <w:b/>
        </w:rPr>
        <w:t>(“</w:t>
      </w:r>
      <w:r w:rsidR="00153068">
        <w:rPr>
          <w:b/>
        </w:rPr>
        <w:t>H</w:t>
      </w:r>
      <w:r w:rsidR="00F80F35">
        <w:rPr>
          <w:b/>
        </w:rPr>
        <w:t>&amp;W</w:t>
      </w:r>
      <w:r>
        <w:rPr>
          <w:b/>
        </w:rPr>
        <w:t>” or the “Company”</w:t>
      </w:r>
      <w:r w:rsidR="002274B7">
        <w:rPr>
          <w:b/>
        </w:rPr>
        <w:t xml:space="preserve"> or the “Group”</w:t>
      </w:r>
      <w:r>
        <w:rPr>
          <w:b/>
        </w:rPr>
        <w:t>)</w:t>
      </w:r>
    </w:p>
    <w:p w14:paraId="50B989BF" w14:textId="77777777" w:rsidR="0027668B" w:rsidRDefault="0027668B">
      <w:pPr>
        <w:pStyle w:val="BodyText"/>
        <w:spacing w:before="1"/>
        <w:rPr>
          <w:b/>
        </w:rPr>
      </w:pPr>
    </w:p>
    <w:p w14:paraId="78E64A96" w14:textId="5056AFEC" w:rsidR="0027668B" w:rsidRDefault="00A92096" w:rsidP="00DE1427">
      <w:pPr>
        <w:tabs>
          <w:tab w:val="left" w:pos="6521"/>
        </w:tabs>
        <w:ind w:left="2651" w:right="3234"/>
        <w:jc w:val="center"/>
        <w:rPr>
          <w:b/>
          <w:i/>
        </w:rPr>
      </w:pPr>
      <w:r>
        <w:rPr>
          <w:b/>
          <w:i/>
        </w:rPr>
        <w:t>U</w:t>
      </w:r>
      <w:r w:rsidR="00FA33E8">
        <w:rPr>
          <w:b/>
          <w:i/>
        </w:rPr>
        <w:t xml:space="preserve">naudited </w:t>
      </w:r>
      <w:r w:rsidR="00942104">
        <w:rPr>
          <w:b/>
          <w:i/>
        </w:rPr>
        <w:t>Interim results for the twelve</w:t>
      </w:r>
      <w:r w:rsidR="00945962">
        <w:rPr>
          <w:b/>
          <w:i/>
        </w:rPr>
        <w:t xml:space="preserve"> </w:t>
      </w:r>
      <w:r w:rsidR="00942104">
        <w:rPr>
          <w:b/>
          <w:i/>
        </w:rPr>
        <w:t xml:space="preserve">months </w:t>
      </w:r>
      <w:r w:rsidR="00F80F35">
        <w:rPr>
          <w:b/>
          <w:i/>
        </w:rPr>
        <w:t>e</w:t>
      </w:r>
      <w:r w:rsidR="00942104">
        <w:rPr>
          <w:b/>
          <w:i/>
        </w:rPr>
        <w:t>nded 31 July</w:t>
      </w:r>
      <w:r w:rsidR="00945962">
        <w:rPr>
          <w:b/>
          <w:i/>
        </w:rPr>
        <w:t xml:space="preserve"> 202</w:t>
      </w:r>
      <w:r w:rsidR="00797913">
        <w:rPr>
          <w:b/>
          <w:i/>
        </w:rPr>
        <w:t>1</w:t>
      </w:r>
      <w:r>
        <w:rPr>
          <w:b/>
          <w:i/>
        </w:rPr>
        <w:t xml:space="preserve"> &amp; business update</w:t>
      </w:r>
    </w:p>
    <w:p w14:paraId="35C85368" w14:textId="77777777" w:rsidR="00605A5C" w:rsidRDefault="00605A5C">
      <w:pPr>
        <w:ind w:left="2651" w:right="3234"/>
        <w:jc w:val="center"/>
        <w:rPr>
          <w:b/>
          <w:i/>
        </w:rPr>
      </w:pPr>
    </w:p>
    <w:p w14:paraId="5C06BDE4" w14:textId="28A7E1E1" w:rsidR="005021AA" w:rsidRPr="00083D54" w:rsidRDefault="000618AC" w:rsidP="005021AA">
      <w:pPr>
        <w:pStyle w:val="cc"/>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Harland &amp; Wolff Group Holdings plc</w:t>
      </w:r>
      <w:r w:rsidRPr="000A0652">
        <w:rPr>
          <w:rFonts w:ascii="Calibri Light" w:hAnsi="Calibri Light" w:cs="Calibri Light"/>
          <w:sz w:val="20"/>
          <w:szCs w:val="20"/>
        </w:rPr>
        <w:t> (AIM:</w:t>
      </w:r>
      <w:r>
        <w:rPr>
          <w:rFonts w:ascii="Calibri Light" w:hAnsi="Calibri Light" w:cs="Calibri Light"/>
          <w:sz w:val="20"/>
          <w:szCs w:val="20"/>
        </w:rPr>
        <w:t xml:space="preserve"> HARL</w:t>
      </w:r>
      <w:r w:rsidRPr="000A0652">
        <w:rPr>
          <w:rFonts w:ascii="Calibri Light" w:hAnsi="Calibri Light" w:cs="Calibri Light"/>
          <w:sz w:val="20"/>
          <w:szCs w:val="20"/>
        </w:rPr>
        <w:t xml:space="preserve">), the UK quoted company focused on strategic energy infrastructure, fabrication, </w:t>
      </w:r>
      <w:proofErr w:type="gramStart"/>
      <w:r w:rsidRPr="000A0652">
        <w:rPr>
          <w:rFonts w:ascii="Calibri Light" w:hAnsi="Calibri Light" w:cs="Calibri Light"/>
          <w:sz w:val="20"/>
          <w:szCs w:val="20"/>
        </w:rPr>
        <w:t>shipbuilding</w:t>
      </w:r>
      <w:proofErr w:type="gramEnd"/>
      <w:r w:rsidRPr="000A0652">
        <w:rPr>
          <w:rFonts w:ascii="Calibri Light" w:hAnsi="Calibri Light" w:cs="Calibri Light"/>
          <w:sz w:val="20"/>
          <w:szCs w:val="20"/>
        </w:rPr>
        <w:t xml:space="preserve"> and vessel repairs is pleased </w:t>
      </w:r>
      <w:r w:rsidR="00605A5C" w:rsidRPr="00083D54">
        <w:rPr>
          <w:rStyle w:val="cd"/>
          <w:rFonts w:ascii="Calibri Light" w:eastAsia="Calibri" w:hAnsi="Calibri Light" w:cs="Calibri Light"/>
          <w:color w:val="212721"/>
          <w:sz w:val="20"/>
          <w:szCs w:val="20"/>
        </w:rPr>
        <w:t xml:space="preserve">to present </w:t>
      </w:r>
      <w:r w:rsidR="00605A5C" w:rsidRPr="00083D54">
        <w:rPr>
          <w:rFonts w:ascii="Calibri Light" w:hAnsi="Calibri Light" w:cs="Calibri Light"/>
          <w:sz w:val="20"/>
          <w:szCs w:val="20"/>
        </w:rPr>
        <w:t>its</w:t>
      </w:r>
      <w:r w:rsidR="00CE669F">
        <w:rPr>
          <w:rFonts w:ascii="Calibri Light" w:hAnsi="Calibri Light" w:cs="Calibri Light"/>
          <w:sz w:val="20"/>
          <w:szCs w:val="20"/>
        </w:rPr>
        <w:t xml:space="preserve"> </w:t>
      </w:r>
      <w:r w:rsidR="0031449A">
        <w:rPr>
          <w:rFonts w:ascii="Calibri Light" w:hAnsi="Calibri Light" w:cs="Calibri Light"/>
          <w:sz w:val="20"/>
          <w:szCs w:val="20"/>
        </w:rPr>
        <w:t xml:space="preserve">unaudited </w:t>
      </w:r>
      <w:r w:rsidR="00605A5C" w:rsidRPr="00083D54">
        <w:rPr>
          <w:rFonts w:ascii="Calibri Light" w:hAnsi="Calibri Light" w:cs="Calibri Light"/>
          <w:sz w:val="20"/>
          <w:szCs w:val="20"/>
        </w:rPr>
        <w:t xml:space="preserve">interim results for the </w:t>
      </w:r>
      <w:r w:rsidRPr="00083D54">
        <w:rPr>
          <w:rFonts w:ascii="Calibri Light" w:hAnsi="Calibri Light" w:cs="Calibri Light"/>
          <w:sz w:val="20"/>
          <w:szCs w:val="20"/>
        </w:rPr>
        <w:t>twelve</w:t>
      </w:r>
      <w:r w:rsidR="008A2021">
        <w:rPr>
          <w:rFonts w:ascii="Calibri Light" w:hAnsi="Calibri Light" w:cs="Calibri Light"/>
          <w:sz w:val="20"/>
          <w:szCs w:val="20"/>
        </w:rPr>
        <w:t>-</w:t>
      </w:r>
      <w:r w:rsidR="00605A5C" w:rsidRPr="00083D54">
        <w:rPr>
          <w:rFonts w:ascii="Calibri Light" w:hAnsi="Calibri Light" w:cs="Calibri Light"/>
          <w:sz w:val="20"/>
          <w:szCs w:val="20"/>
        </w:rPr>
        <w:t xml:space="preserve">month period ended 31 </w:t>
      </w:r>
      <w:r w:rsidRPr="00083D54">
        <w:rPr>
          <w:rFonts w:ascii="Calibri Light" w:hAnsi="Calibri Light" w:cs="Calibri Light"/>
          <w:sz w:val="20"/>
          <w:szCs w:val="20"/>
        </w:rPr>
        <w:t>July</w:t>
      </w:r>
      <w:r w:rsidR="00605A5C" w:rsidRPr="00083D54">
        <w:rPr>
          <w:rFonts w:ascii="Calibri Light" w:hAnsi="Calibri Light" w:cs="Calibri Light"/>
          <w:sz w:val="20"/>
          <w:szCs w:val="20"/>
        </w:rPr>
        <w:t xml:space="preserve"> 202</w:t>
      </w:r>
      <w:r w:rsidR="00821235" w:rsidRPr="00083D54">
        <w:rPr>
          <w:rFonts w:ascii="Calibri Light" w:hAnsi="Calibri Light" w:cs="Calibri Light"/>
          <w:sz w:val="20"/>
          <w:szCs w:val="20"/>
        </w:rPr>
        <w:t>1</w:t>
      </w:r>
      <w:r w:rsidR="00A92096">
        <w:rPr>
          <w:rFonts w:ascii="Calibri Light" w:hAnsi="Calibri Light" w:cs="Calibri Light"/>
          <w:sz w:val="20"/>
          <w:szCs w:val="20"/>
        </w:rPr>
        <w:t xml:space="preserve"> and business update</w:t>
      </w:r>
      <w:r w:rsidR="00605A5C" w:rsidRPr="00083D54">
        <w:rPr>
          <w:rFonts w:ascii="Calibri Light" w:hAnsi="Calibri Light" w:cs="Calibri Light"/>
          <w:sz w:val="20"/>
          <w:szCs w:val="20"/>
        </w:rPr>
        <w:t>.</w:t>
      </w:r>
      <w:r w:rsidR="005021AA">
        <w:rPr>
          <w:rFonts w:ascii="Calibri Light" w:hAnsi="Calibri Light" w:cs="Calibri Light"/>
          <w:sz w:val="20"/>
          <w:szCs w:val="20"/>
        </w:rPr>
        <w:t xml:space="preserve"> These interim results have been prepared in connection with the Company’s change of accounting reference date to 31 December. The Company’s next audited financial results will be for the 17-month period ending 31 December 2021. </w:t>
      </w:r>
    </w:p>
    <w:p w14:paraId="61347A72" w14:textId="09AFB89C" w:rsidR="00605A5C" w:rsidRPr="00083D54" w:rsidRDefault="00605A5C" w:rsidP="008128ED">
      <w:pPr>
        <w:pStyle w:val="cc"/>
        <w:spacing w:before="0" w:beforeAutospacing="0" w:after="0" w:afterAutospacing="0"/>
        <w:jc w:val="both"/>
        <w:rPr>
          <w:rFonts w:ascii="Calibri Light" w:hAnsi="Calibri Light" w:cs="Calibri Light"/>
          <w:sz w:val="20"/>
          <w:szCs w:val="20"/>
        </w:rPr>
      </w:pPr>
    </w:p>
    <w:p w14:paraId="354A5410" w14:textId="77777777" w:rsidR="00605A5C" w:rsidRPr="000A3A3C" w:rsidRDefault="00605A5C" w:rsidP="008128ED">
      <w:pPr>
        <w:pStyle w:val="cc"/>
        <w:spacing w:before="0" w:beforeAutospacing="0" w:after="0" w:afterAutospacing="0"/>
        <w:jc w:val="both"/>
        <w:rPr>
          <w:rFonts w:asciiTheme="minorHAnsi" w:hAnsiTheme="minorHAnsi" w:cstheme="minorHAnsi"/>
          <w:sz w:val="20"/>
          <w:szCs w:val="20"/>
        </w:rPr>
      </w:pPr>
    </w:p>
    <w:p w14:paraId="7F87ABD2" w14:textId="77777777" w:rsidR="00605A5C" w:rsidRPr="00083D54" w:rsidRDefault="00605A5C" w:rsidP="008128ED">
      <w:pPr>
        <w:pStyle w:val="cc"/>
        <w:spacing w:before="0" w:beforeAutospacing="0" w:after="0" w:afterAutospacing="0"/>
        <w:jc w:val="both"/>
        <w:rPr>
          <w:rFonts w:ascii="Calibri Light" w:hAnsi="Calibri Light" w:cs="Calibri Light"/>
          <w:b/>
          <w:bCs/>
          <w:sz w:val="20"/>
          <w:szCs w:val="20"/>
        </w:rPr>
      </w:pPr>
      <w:r w:rsidRPr="00083D54">
        <w:rPr>
          <w:rFonts w:ascii="Calibri Light" w:hAnsi="Calibri Light" w:cs="Calibri Light"/>
          <w:b/>
          <w:bCs/>
          <w:sz w:val="20"/>
          <w:szCs w:val="20"/>
        </w:rPr>
        <w:t>Key highlights:</w:t>
      </w:r>
    </w:p>
    <w:p w14:paraId="12D79878" w14:textId="77777777" w:rsidR="00605A5C" w:rsidRPr="00083D54" w:rsidRDefault="00605A5C" w:rsidP="008128ED">
      <w:pPr>
        <w:pStyle w:val="cc"/>
        <w:spacing w:before="0" w:beforeAutospacing="0" w:after="0" w:afterAutospacing="0"/>
        <w:ind w:left="284"/>
        <w:jc w:val="both"/>
        <w:rPr>
          <w:rFonts w:ascii="Calibri Light" w:hAnsi="Calibri Light" w:cs="Calibri Light"/>
          <w:sz w:val="20"/>
          <w:szCs w:val="20"/>
        </w:rPr>
      </w:pPr>
    </w:p>
    <w:p w14:paraId="75D7D784" w14:textId="3AE36E3A" w:rsidR="008978D8" w:rsidRPr="008978D8" w:rsidRDefault="006A4FEF" w:rsidP="008978D8">
      <w:pPr>
        <w:pStyle w:val="cc"/>
        <w:numPr>
          <w:ilvl w:val="0"/>
          <w:numId w:val="6"/>
        </w:numPr>
        <w:spacing w:before="0" w:beforeAutospacing="0" w:after="0" w:afterAutospacing="0"/>
        <w:jc w:val="both"/>
        <w:rPr>
          <w:rFonts w:ascii="Calibri Light" w:hAnsi="Calibri Light" w:cs="Calibri Light"/>
          <w:sz w:val="20"/>
          <w:szCs w:val="20"/>
        </w:rPr>
      </w:pPr>
      <w:r w:rsidRPr="00083D54">
        <w:rPr>
          <w:rFonts w:ascii="Calibri Light" w:hAnsi="Calibri Light" w:cs="Calibri Light"/>
          <w:sz w:val="20"/>
          <w:szCs w:val="20"/>
        </w:rPr>
        <w:t>Revenues</w:t>
      </w:r>
      <w:r w:rsidR="000138FF" w:rsidRPr="00083D54">
        <w:rPr>
          <w:rFonts w:ascii="Calibri Light" w:hAnsi="Calibri Light" w:cs="Calibri Light"/>
          <w:sz w:val="20"/>
          <w:szCs w:val="20"/>
        </w:rPr>
        <w:t xml:space="preserve"> </w:t>
      </w:r>
      <w:r w:rsidR="008448D5" w:rsidRPr="00083D54">
        <w:rPr>
          <w:rFonts w:ascii="Calibri Light" w:hAnsi="Calibri Light" w:cs="Calibri Light"/>
          <w:sz w:val="20"/>
          <w:szCs w:val="20"/>
        </w:rPr>
        <w:t>of</w:t>
      </w:r>
      <w:r w:rsidRPr="00083D54">
        <w:rPr>
          <w:rFonts w:ascii="Calibri Light" w:hAnsi="Calibri Light" w:cs="Calibri Light"/>
          <w:sz w:val="20"/>
          <w:szCs w:val="20"/>
        </w:rPr>
        <w:t xml:space="preserve"> £</w:t>
      </w:r>
      <w:r w:rsidR="000138FF" w:rsidRPr="00083D54">
        <w:rPr>
          <w:rFonts w:ascii="Calibri Light" w:hAnsi="Calibri Light" w:cs="Calibri Light"/>
          <w:sz w:val="20"/>
          <w:szCs w:val="20"/>
        </w:rPr>
        <w:t>10</w:t>
      </w:r>
      <w:r w:rsidR="00C548B5">
        <w:rPr>
          <w:rFonts w:ascii="Calibri Light" w:hAnsi="Calibri Light" w:cs="Calibri Light"/>
          <w:sz w:val="20"/>
          <w:szCs w:val="20"/>
        </w:rPr>
        <w:t>.18</w:t>
      </w:r>
      <w:r w:rsidRPr="00083D54">
        <w:rPr>
          <w:rFonts w:ascii="Calibri Light" w:hAnsi="Calibri Light" w:cs="Calibri Light"/>
          <w:sz w:val="20"/>
          <w:szCs w:val="20"/>
        </w:rPr>
        <w:t xml:space="preserve"> million</w:t>
      </w:r>
      <w:r w:rsidR="00C04F82" w:rsidRPr="00083D54">
        <w:rPr>
          <w:rFonts w:ascii="Calibri Light" w:hAnsi="Calibri Light" w:cs="Calibri Light"/>
          <w:sz w:val="20"/>
          <w:szCs w:val="20"/>
        </w:rPr>
        <w:t xml:space="preserve">; a </w:t>
      </w:r>
      <w:r w:rsidR="00F83407">
        <w:rPr>
          <w:rFonts w:ascii="Calibri Light" w:hAnsi="Calibri Light" w:cs="Calibri Light"/>
          <w:sz w:val="20"/>
          <w:szCs w:val="20"/>
        </w:rPr>
        <w:t>seven</w:t>
      </w:r>
      <w:r w:rsidR="0006391B" w:rsidRPr="00083D54">
        <w:rPr>
          <w:rFonts w:ascii="Calibri Light" w:hAnsi="Calibri Light" w:cs="Calibri Light"/>
          <w:sz w:val="20"/>
          <w:szCs w:val="20"/>
        </w:rPr>
        <w:t>-</w:t>
      </w:r>
      <w:r w:rsidR="00C04F82" w:rsidRPr="00083D54">
        <w:rPr>
          <w:rFonts w:ascii="Calibri Light" w:hAnsi="Calibri Light" w:cs="Calibri Light"/>
          <w:sz w:val="20"/>
          <w:szCs w:val="20"/>
        </w:rPr>
        <w:t xml:space="preserve">fold increase </w:t>
      </w:r>
      <w:r w:rsidR="00755BB6" w:rsidRPr="00083D54">
        <w:rPr>
          <w:rFonts w:ascii="Calibri Light" w:hAnsi="Calibri Light" w:cs="Calibri Light"/>
          <w:sz w:val="20"/>
          <w:szCs w:val="20"/>
        </w:rPr>
        <w:t xml:space="preserve">from the </w:t>
      </w:r>
      <w:r w:rsidR="003670D1" w:rsidRPr="00083D54">
        <w:rPr>
          <w:rFonts w:ascii="Calibri Light" w:hAnsi="Calibri Light" w:cs="Calibri Light"/>
          <w:sz w:val="20"/>
          <w:szCs w:val="20"/>
        </w:rPr>
        <w:t>previous year</w:t>
      </w:r>
      <w:r w:rsidR="002E1A5A" w:rsidRPr="00083D54">
        <w:rPr>
          <w:rFonts w:ascii="Calibri Light" w:hAnsi="Calibri Light" w:cs="Calibri Light"/>
          <w:sz w:val="20"/>
          <w:szCs w:val="20"/>
        </w:rPr>
        <w:t xml:space="preserve"> (31 July 2020: £1.4</w:t>
      </w:r>
      <w:r w:rsidR="00F83407">
        <w:rPr>
          <w:rFonts w:ascii="Calibri Light" w:hAnsi="Calibri Light" w:cs="Calibri Light"/>
          <w:sz w:val="20"/>
          <w:szCs w:val="20"/>
        </w:rPr>
        <w:t>8</w:t>
      </w:r>
      <w:r w:rsidR="002E1A5A" w:rsidRPr="00083D54">
        <w:rPr>
          <w:rFonts w:ascii="Calibri Light" w:hAnsi="Calibri Light" w:cs="Calibri Light"/>
          <w:sz w:val="20"/>
          <w:szCs w:val="20"/>
        </w:rPr>
        <w:t xml:space="preserve"> million)</w:t>
      </w:r>
      <w:r w:rsidR="00407C38">
        <w:rPr>
          <w:rFonts w:ascii="Calibri Light" w:hAnsi="Calibri Light" w:cs="Calibri Light"/>
          <w:sz w:val="20"/>
          <w:szCs w:val="20"/>
        </w:rPr>
        <w:t xml:space="preserve"> whilst still emerging from COVID-19 and</w:t>
      </w:r>
      <w:r w:rsidR="00D54993">
        <w:rPr>
          <w:rFonts w:ascii="Calibri Light" w:hAnsi="Calibri Light" w:cs="Calibri Light"/>
          <w:sz w:val="20"/>
          <w:szCs w:val="20"/>
        </w:rPr>
        <w:t xml:space="preserve"> associated</w:t>
      </w:r>
      <w:r w:rsidR="00407C38">
        <w:rPr>
          <w:rFonts w:ascii="Calibri Light" w:hAnsi="Calibri Light" w:cs="Calibri Light"/>
          <w:sz w:val="20"/>
          <w:szCs w:val="20"/>
        </w:rPr>
        <w:t xml:space="preserve"> lockdown</w:t>
      </w:r>
      <w:r w:rsidR="00D54993">
        <w:rPr>
          <w:rFonts w:ascii="Calibri Light" w:hAnsi="Calibri Light" w:cs="Calibri Light"/>
          <w:sz w:val="20"/>
          <w:szCs w:val="20"/>
        </w:rPr>
        <w:t>s</w:t>
      </w:r>
      <w:r w:rsidR="006F5636" w:rsidRPr="00083D54">
        <w:rPr>
          <w:rFonts w:ascii="Calibri Light" w:hAnsi="Calibri Light" w:cs="Calibri Light"/>
          <w:sz w:val="20"/>
          <w:szCs w:val="20"/>
        </w:rPr>
        <w:t>.</w:t>
      </w:r>
    </w:p>
    <w:p w14:paraId="45C25E7B" w14:textId="61379472" w:rsidR="0015756E" w:rsidRPr="00083D54" w:rsidRDefault="0015756E"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Gross margin of 24% in line with Company’s expectations</w:t>
      </w:r>
      <w:r w:rsidR="00B40145">
        <w:rPr>
          <w:rFonts w:ascii="Calibri Light" w:hAnsi="Calibri Light" w:cs="Calibri Light"/>
          <w:sz w:val="20"/>
          <w:szCs w:val="20"/>
        </w:rPr>
        <w:t xml:space="preserve"> for the portfolio of contracts </w:t>
      </w:r>
      <w:r w:rsidR="00547176">
        <w:rPr>
          <w:rFonts w:ascii="Calibri Light" w:hAnsi="Calibri Light" w:cs="Calibri Light"/>
          <w:sz w:val="20"/>
          <w:szCs w:val="20"/>
        </w:rPr>
        <w:t>delivered in the period.</w:t>
      </w:r>
    </w:p>
    <w:p w14:paraId="664E31A5" w14:textId="35A6CC0F" w:rsidR="003022F2" w:rsidRDefault="003022F2" w:rsidP="008128ED">
      <w:pPr>
        <w:pStyle w:val="cc"/>
        <w:numPr>
          <w:ilvl w:val="0"/>
          <w:numId w:val="6"/>
        </w:numPr>
        <w:spacing w:before="0" w:beforeAutospacing="0" w:after="0" w:afterAutospacing="0"/>
        <w:jc w:val="both"/>
        <w:rPr>
          <w:rFonts w:ascii="Calibri Light" w:hAnsi="Calibri Light" w:cs="Calibri Light"/>
          <w:sz w:val="20"/>
          <w:szCs w:val="20"/>
        </w:rPr>
      </w:pPr>
      <w:r w:rsidRPr="00083D54">
        <w:rPr>
          <w:rFonts w:ascii="Calibri Light" w:hAnsi="Calibri Light" w:cs="Calibri Light"/>
          <w:sz w:val="20"/>
          <w:szCs w:val="20"/>
        </w:rPr>
        <w:t xml:space="preserve">Operating loss before </w:t>
      </w:r>
      <w:r w:rsidR="00C52BF3" w:rsidRPr="00083D54">
        <w:rPr>
          <w:rFonts w:ascii="Calibri Light" w:hAnsi="Calibri Light" w:cs="Calibri Light"/>
          <w:sz w:val="20"/>
          <w:szCs w:val="20"/>
        </w:rPr>
        <w:t xml:space="preserve">depreciation, </w:t>
      </w:r>
      <w:proofErr w:type="gramStart"/>
      <w:r w:rsidR="00C52BF3" w:rsidRPr="00083D54">
        <w:rPr>
          <w:rFonts w:ascii="Calibri Light" w:hAnsi="Calibri Light" w:cs="Calibri Light"/>
          <w:sz w:val="20"/>
          <w:szCs w:val="20"/>
        </w:rPr>
        <w:t>amortisation</w:t>
      </w:r>
      <w:proofErr w:type="gramEnd"/>
      <w:r w:rsidR="00C52BF3" w:rsidRPr="00083D54">
        <w:rPr>
          <w:rFonts w:ascii="Calibri Light" w:hAnsi="Calibri Light" w:cs="Calibri Light"/>
          <w:sz w:val="20"/>
          <w:szCs w:val="20"/>
        </w:rPr>
        <w:t xml:space="preserve"> and financing costs of </w:t>
      </w:r>
      <w:r w:rsidR="001845ED" w:rsidRPr="00083D54">
        <w:rPr>
          <w:rFonts w:ascii="Calibri Light" w:hAnsi="Calibri Light" w:cs="Calibri Light"/>
          <w:sz w:val="20"/>
          <w:szCs w:val="20"/>
        </w:rPr>
        <w:t>£12</w:t>
      </w:r>
      <w:r w:rsidR="00E67ABC">
        <w:rPr>
          <w:rFonts w:ascii="Calibri Light" w:hAnsi="Calibri Light" w:cs="Calibri Light"/>
          <w:sz w:val="20"/>
          <w:szCs w:val="20"/>
        </w:rPr>
        <w:t>.3</w:t>
      </w:r>
      <w:r w:rsidR="001845ED" w:rsidRPr="00083D54">
        <w:rPr>
          <w:rFonts w:ascii="Calibri Light" w:hAnsi="Calibri Light" w:cs="Calibri Light"/>
          <w:sz w:val="20"/>
          <w:szCs w:val="20"/>
        </w:rPr>
        <w:t xml:space="preserve"> million </w:t>
      </w:r>
      <w:r w:rsidR="003670D1" w:rsidRPr="00083D54">
        <w:rPr>
          <w:rFonts w:ascii="Calibri Light" w:hAnsi="Calibri Light" w:cs="Calibri Light"/>
          <w:sz w:val="20"/>
          <w:szCs w:val="20"/>
        </w:rPr>
        <w:t>(</w:t>
      </w:r>
      <w:r w:rsidR="006F5636" w:rsidRPr="00083D54">
        <w:rPr>
          <w:rFonts w:ascii="Calibri Light" w:hAnsi="Calibri Light" w:cs="Calibri Light"/>
          <w:sz w:val="20"/>
          <w:szCs w:val="20"/>
        </w:rPr>
        <w:t>31 July 2020: £9.2 million)</w:t>
      </w:r>
      <w:r w:rsidR="00547176">
        <w:rPr>
          <w:rFonts w:ascii="Calibri Light" w:hAnsi="Calibri Light" w:cs="Calibri Light"/>
          <w:sz w:val="20"/>
          <w:szCs w:val="20"/>
        </w:rPr>
        <w:t>.</w:t>
      </w:r>
    </w:p>
    <w:p w14:paraId="37803F8A" w14:textId="50B643AC" w:rsidR="00547176" w:rsidRPr="00CE7E49" w:rsidRDefault="00547176" w:rsidP="008128ED">
      <w:pPr>
        <w:pStyle w:val="cc"/>
        <w:numPr>
          <w:ilvl w:val="0"/>
          <w:numId w:val="6"/>
        </w:numPr>
        <w:spacing w:before="0" w:beforeAutospacing="0" w:after="0" w:afterAutospacing="0"/>
        <w:jc w:val="both"/>
        <w:rPr>
          <w:rFonts w:ascii="Calibri Light" w:hAnsi="Calibri Light" w:cs="Calibri Light"/>
          <w:sz w:val="20"/>
          <w:szCs w:val="20"/>
        </w:rPr>
      </w:pPr>
      <w:r w:rsidRPr="00CE7E49">
        <w:rPr>
          <w:rFonts w:ascii="Calibri Light" w:hAnsi="Calibri Light" w:cs="Calibri Light"/>
          <w:sz w:val="20"/>
          <w:szCs w:val="20"/>
        </w:rPr>
        <w:t xml:space="preserve">Total headcount </w:t>
      </w:r>
      <w:r w:rsidR="00B15C17" w:rsidRPr="00CE7E49">
        <w:rPr>
          <w:rFonts w:ascii="Calibri Light" w:hAnsi="Calibri Light" w:cs="Calibri Light"/>
          <w:sz w:val="20"/>
          <w:szCs w:val="20"/>
        </w:rPr>
        <w:t>now stands at 320 (31 July 2020: 80)</w:t>
      </w:r>
    </w:p>
    <w:p w14:paraId="7554589C" w14:textId="33F68E06" w:rsidR="007E7616" w:rsidRPr="00083D54" w:rsidRDefault="00B650EF" w:rsidP="008128ED">
      <w:pPr>
        <w:pStyle w:val="cc"/>
        <w:numPr>
          <w:ilvl w:val="0"/>
          <w:numId w:val="6"/>
        </w:numPr>
        <w:spacing w:before="0" w:beforeAutospacing="0" w:after="0" w:afterAutospacing="0"/>
        <w:jc w:val="both"/>
        <w:rPr>
          <w:rFonts w:ascii="Calibri Light" w:hAnsi="Calibri Light" w:cs="Calibri Light"/>
          <w:sz w:val="20"/>
          <w:szCs w:val="20"/>
        </w:rPr>
      </w:pPr>
      <w:r w:rsidRPr="00083D54">
        <w:rPr>
          <w:rFonts w:ascii="Calibri Light" w:hAnsi="Calibri Light" w:cs="Calibri Light"/>
          <w:sz w:val="20"/>
          <w:szCs w:val="20"/>
        </w:rPr>
        <w:t>Key strategic acquisitions made</w:t>
      </w:r>
      <w:r w:rsidR="002954B8" w:rsidRPr="00083D54">
        <w:rPr>
          <w:rFonts w:ascii="Calibri Light" w:hAnsi="Calibri Light" w:cs="Calibri Light"/>
          <w:sz w:val="20"/>
          <w:szCs w:val="20"/>
        </w:rPr>
        <w:t xml:space="preserve">; Harland &amp; Wolff (Appledore) in August 2020 for £7 million and Harland &amp; Wolff (Methil and </w:t>
      </w:r>
      <w:proofErr w:type="spellStart"/>
      <w:r w:rsidR="002954B8" w:rsidRPr="00083D54">
        <w:rPr>
          <w:rFonts w:ascii="Calibri Light" w:hAnsi="Calibri Light" w:cs="Calibri Light"/>
          <w:sz w:val="20"/>
          <w:szCs w:val="20"/>
        </w:rPr>
        <w:t>Arnish</w:t>
      </w:r>
      <w:proofErr w:type="spellEnd"/>
      <w:r w:rsidR="002954B8" w:rsidRPr="00083D54">
        <w:rPr>
          <w:rFonts w:ascii="Calibri Light" w:hAnsi="Calibri Light" w:cs="Calibri Light"/>
          <w:sz w:val="20"/>
          <w:szCs w:val="20"/>
        </w:rPr>
        <w:t>) in February 2021 for £0.65 million</w:t>
      </w:r>
      <w:r w:rsidR="0006391B" w:rsidRPr="00083D54">
        <w:rPr>
          <w:rFonts w:ascii="Calibri Light" w:hAnsi="Calibri Light" w:cs="Calibri Light"/>
          <w:sz w:val="20"/>
          <w:szCs w:val="20"/>
        </w:rPr>
        <w:t>.</w:t>
      </w:r>
    </w:p>
    <w:p w14:paraId="5E220C09" w14:textId="2C46C04B" w:rsidR="003022F2" w:rsidRPr="00083D54" w:rsidRDefault="00D37E93" w:rsidP="003022F2">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 xml:space="preserve">The </w:t>
      </w:r>
      <w:r w:rsidR="00CD5BE7">
        <w:rPr>
          <w:rFonts w:ascii="Calibri Light" w:hAnsi="Calibri Light" w:cs="Calibri Light"/>
          <w:sz w:val="20"/>
          <w:szCs w:val="20"/>
        </w:rPr>
        <w:t>Directors believe that t</w:t>
      </w:r>
      <w:r w:rsidR="001A4EE7" w:rsidRPr="00083D54">
        <w:rPr>
          <w:rFonts w:ascii="Calibri Light" w:hAnsi="Calibri Light" w:cs="Calibri Light"/>
          <w:sz w:val="20"/>
          <w:szCs w:val="20"/>
        </w:rPr>
        <w:t xml:space="preserve">he Harland &amp; Wolff Group now has the largest fabrication footprint in the UK </w:t>
      </w:r>
      <w:r w:rsidR="00407C38">
        <w:rPr>
          <w:rFonts w:ascii="Calibri Light" w:hAnsi="Calibri Light" w:cs="Calibri Light"/>
          <w:sz w:val="20"/>
          <w:szCs w:val="20"/>
        </w:rPr>
        <w:t xml:space="preserve">dedicated to the </w:t>
      </w:r>
      <w:r w:rsidR="00C2231D">
        <w:rPr>
          <w:rFonts w:ascii="Calibri Light" w:hAnsi="Calibri Light" w:cs="Calibri Light"/>
          <w:sz w:val="20"/>
          <w:szCs w:val="20"/>
        </w:rPr>
        <w:t>m</w:t>
      </w:r>
      <w:r w:rsidR="00407C38">
        <w:rPr>
          <w:rFonts w:ascii="Calibri Light" w:hAnsi="Calibri Light" w:cs="Calibri Light"/>
          <w:sz w:val="20"/>
          <w:szCs w:val="20"/>
        </w:rPr>
        <w:t xml:space="preserve">arine </w:t>
      </w:r>
      <w:r w:rsidR="00C2231D">
        <w:rPr>
          <w:rFonts w:ascii="Calibri Light" w:hAnsi="Calibri Light" w:cs="Calibri Light"/>
          <w:sz w:val="20"/>
          <w:szCs w:val="20"/>
        </w:rPr>
        <w:t>and renewables i</w:t>
      </w:r>
      <w:r w:rsidR="00407C38">
        <w:rPr>
          <w:rFonts w:ascii="Calibri Light" w:hAnsi="Calibri Light" w:cs="Calibri Light"/>
          <w:sz w:val="20"/>
          <w:szCs w:val="20"/>
        </w:rPr>
        <w:t>ndustr</w:t>
      </w:r>
      <w:r w:rsidR="00C2231D">
        <w:rPr>
          <w:rFonts w:ascii="Calibri Light" w:hAnsi="Calibri Light" w:cs="Calibri Light"/>
          <w:sz w:val="20"/>
          <w:szCs w:val="20"/>
        </w:rPr>
        <w:t>ies</w:t>
      </w:r>
      <w:r w:rsidR="00407C38">
        <w:rPr>
          <w:rFonts w:ascii="Calibri Light" w:hAnsi="Calibri Light" w:cs="Calibri Light"/>
          <w:sz w:val="20"/>
          <w:szCs w:val="20"/>
        </w:rPr>
        <w:t xml:space="preserve"> </w:t>
      </w:r>
      <w:r w:rsidR="001A4EE7" w:rsidRPr="00083D54">
        <w:rPr>
          <w:rFonts w:ascii="Calibri Light" w:hAnsi="Calibri Light" w:cs="Calibri Light"/>
          <w:sz w:val="20"/>
          <w:szCs w:val="20"/>
        </w:rPr>
        <w:t xml:space="preserve">capable of </w:t>
      </w:r>
      <w:r w:rsidR="003022F2" w:rsidRPr="00083D54">
        <w:rPr>
          <w:rFonts w:ascii="Calibri Light" w:hAnsi="Calibri Light" w:cs="Calibri Light"/>
          <w:sz w:val="20"/>
          <w:szCs w:val="20"/>
        </w:rPr>
        <w:t>delivering large, complex ship building and fabrication contracts.</w:t>
      </w:r>
    </w:p>
    <w:p w14:paraId="7D8673A3" w14:textId="6BF1F85E" w:rsidR="00A357BA" w:rsidRPr="00083D54" w:rsidRDefault="005D5B2E" w:rsidP="003022F2">
      <w:pPr>
        <w:pStyle w:val="cc"/>
        <w:numPr>
          <w:ilvl w:val="0"/>
          <w:numId w:val="6"/>
        </w:numPr>
        <w:spacing w:before="0" w:beforeAutospacing="0" w:after="0" w:afterAutospacing="0"/>
        <w:jc w:val="both"/>
        <w:rPr>
          <w:rFonts w:ascii="Calibri Light" w:hAnsi="Calibri Light" w:cs="Calibri Light"/>
          <w:sz w:val="20"/>
          <w:szCs w:val="20"/>
        </w:rPr>
      </w:pPr>
      <w:r w:rsidRPr="00083D54">
        <w:rPr>
          <w:rFonts w:ascii="Calibri Light" w:hAnsi="Calibri Light" w:cs="Calibri Light"/>
          <w:sz w:val="20"/>
          <w:szCs w:val="20"/>
        </w:rPr>
        <w:t xml:space="preserve">Company’s first </w:t>
      </w:r>
      <w:r w:rsidR="007E64CF">
        <w:rPr>
          <w:rFonts w:ascii="Calibri Light" w:hAnsi="Calibri Light" w:cs="Calibri Light"/>
          <w:sz w:val="20"/>
          <w:szCs w:val="20"/>
        </w:rPr>
        <w:t>major</w:t>
      </w:r>
      <w:r w:rsidR="007E64CF" w:rsidRPr="00083D54">
        <w:rPr>
          <w:rFonts w:ascii="Calibri Light" w:hAnsi="Calibri Light" w:cs="Calibri Light"/>
          <w:sz w:val="20"/>
          <w:szCs w:val="20"/>
        </w:rPr>
        <w:t xml:space="preserve"> </w:t>
      </w:r>
      <w:r w:rsidRPr="00083D54">
        <w:rPr>
          <w:rFonts w:ascii="Calibri Light" w:hAnsi="Calibri Light" w:cs="Calibri Light"/>
          <w:sz w:val="20"/>
          <w:szCs w:val="20"/>
        </w:rPr>
        <w:t xml:space="preserve">fabrication </w:t>
      </w:r>
      <w:r w:rsidR="00535564" w:rsidRPr="00083D54">
        <w:rPr>
          <w:rFonts w:ascii="Calibri Light" w:hAnsi="Calibri Light" w:cs="Calibri Light"/>
          <w:sz w:val="20"/>
          <w:szCs w:val="20"/>
        </w:rPr>
        <w:t xml:space="preserve">contract signed in April 2021; fabrication of eight wind turbine generator jackets </w:t>
      </w:r>
      <w:r w:rsidR="003372F5" w:rsidRPr="00083D54">
        <w:rPr>
          <w:rFonts w:ascii="Calibri Light" w:hAnsi="Calibri Light" w:cs="Calibri Light"/>
          <w:sz w:val="20"/>
          <w:szCs w:val="20"/>
        </w:rPr>
        <w:t>for the NNG project in Scotland signed with Saipem UK Limited for a total value of £26.50 million; fabrication has commenced at pace</w:t>
      </w:r>
      <w:r w:rsidR="003924E8">
        <w:rPr>
          <w:rFonts w:ascii="Calibri Light" w:hAnsi="Calibri Light" w:cs="Calibri Light"/>
          <w:sz w:val="20"/>
          <w:szCs w:val="20"/>
        </w:rPr>
        <w:t>, with a significant contribution expected in the second half of 2021.</w:t>
      </w:r>
    </w:p>
    <w:p w14:paraId="153B5E1B" w14:textId="26A33025" w:rsidR="00605A5C" w:rsidRDefault="00605A5C" w:rsidP="008128ED">
      <w:pPr>
        <w:pStyle w:val="cc"/>
        <w:numPr>
          <w:ilvl w:val="0"/>
          <w:numId w:val="6"/>
        </w:numPr>
        <w:spacing w:before="0" w:beforeAutospacing="0" w:after="0" w:afterAutospacing="0"/>
        <w:jc w:val="both"/>
        <w:rPr>
          <w:rFonts w:ascii="Calibri Light" w:hAnsi="Calibri Light" w:cs="Calibri Light"/>
          <w:sz w:val="20"/>
          <w:szCs w:val="20"/>
        </w:rPr>
      </w:pPr>
      <w:r w:rsidRPr="00083D54">
        <w:rPr>
          <w:rFonts w:ascii="Calibri Light" w:hAnsi="Calibri Light" w:cs="Calibri Light"/>
          <w:sz w:val="20"/>
          <w:szCs w:val="20"/>
        </w:rPr>
        <w:t xml:space="preserve">Strong pipeline of contracts across </w:t>
      </w:r>
      <w:r w:rsidR="0006391B" w:rsidRPr="00083D54">
        <w:rPr>
          <w:rFonts w:ascii="Calibri Light" w:hAnsi="Calibri Light" w:cs="Calibri Light"/>
          <w:sz w:val="20"/>
          <w:szCs w:val="20"/>
        </w:rPr>
        <w:t>five</w:t>
      </w:r>
      <w:r w:rsidR="00D61696" w:rsidRPr="00083D54">
        <w:rPr>
          <w:rFonts w:ascii="Calibri Light" w:hAnsi="Calibri Light" w:cs="Calibri Light"/>
          <w:sz w:val="20"/>
          <w:szCs w:val="20"/>
        </w:rPr>
        <w:t xml:space="preserve"> distinct markets and </w:t>
      </w:r>
      <w:r w:rsidR="0006391B" w:rsidRPr="00083D54">
        <w:rPr>
          <w:rFonts w:ascii="Calibri Light" w:hAnsi="Calibri Light" w:cs="Calibri Light"/>
          <w:sz w:val="20"/>
          <w:szCs w:val="20"/>
        </w:rPr>
        <w:t>six</w:t>
      </w:r>
      <w:r w:rsidRPr="00083D54">
        <w:rPr>
          <w:rFonts w:ascii="Calibri Light" w:hAnsi="Calibri Light" w:cs="Calibri Light"/>
          <w:sz w:val="20"/>
          <w:szCs w:val="20"/>
        </w:rPr>
        <w:t xml:space="preserve"> service sectors developed and being actively progressed</w:t>
      </w:r>
      <w:r w:rsidR="00407C38">
        <w:rPr>
          <w:rFonts w:ascii="Calibri Light" w:hAnsi="Calibri Light" w:cs="Calibri Light"/>
          <w:sz w:val="20"/>
          <w:szCs w:val="20"/>
        </w:rPr>
        <w:t>.</w:t>
      </w:r>
      <w:r w:rsidR="008978D8">
        <w:rPr>
          <w:rFonts w:ascii="Calibri Light" w:hAnsi="Calibri Light" w:cs="Calibri Light"/>
          <w:sz w:val="20"/>
          <w:szCs w:val="20"/>
        </w:rPr>
        <w:t xml:space="preserve">  </w:t>
      </w:r>
    </w:p>
    <w:p w14:paraId="2D2F6439" w14:textId="27BCDEAD" w:rsidR="00407C38" w:rsidRDefault="00407C38"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 xml:space="preserve">Defence and </w:t>
      </w:r>
      <w:r w:rsidR="00F042CD">
        <w:rPr>
          <w:rFonts w:ascii="Calibri Light" w:hAnsi="Calibri Light" w:cs="Calibri Light"/>
          <w:sz w:val="20"/>
          <w:szCs w:val="20"/>
        </w:rPr>
        <w:t>r</w:t>
      </w:r>
      <w:r>
        <w:rPr>
          <w:rFonts w:ascii="Calibri Light" w:hAnsi="Calibri Light" w:cs="Calibri Light"/>
          <w:sz w:val="20"/>
          <w:szCs w:val="20"/>
        </w:rPr>
        <w:t>enewable</w:t>
      </w:r>
      <w:r w:rsidR="00F042CD">
        <w:rPr>
          <w:rFonts w:ascii="Calibri Light" w:hAnsi="Calibri Light" w:cs="Calibri Light"/>
          <w:sz w:val="20"/>
          <w:szCs w:val="20"/>
        </w:rPr>
        <w:t>s</w:t>
      </w:r>
      <w:r>
        <w:rPr>
          <w:rFonts w:ascii="Calibri Light" w:hAnsi="Calibri Light" w:cs="Calibri Light"/>
          <w:sz w:val="20"/>
          <w:szCs w:val="20"/>
        </w:rPr>
        <w:t xml:space="preserve"> markets are coming into play quicker than </w:t>
      </w:r>
      <w:r w:rsidR="00766C98">
        <w:rPr>
          <w:rFonts w:ascii="Calibri Light" w:hAnsi="Calibri Light" w:cs="Calibri Light"/>
          <w:sz w:val="20"/>
          <w:szCs w:val="20"/>
        </w:rPr>
        <w:t>originally envisaged</w:t>
      </w:r>
      <w:r w:rsidR="00144258">
        <w:rPr>
          <w:rFonts w:ascii="Calibri Light" w:hAnsi="Calibri Light" w:cs="Calibri Light"/>
          <w:sz w:val="20"/>
          <w:szCs w:val="20"/>
        </w:rPr>
        <w:t xml:space="preserve">; significantly </w:t>
      </w:r>
      <w:r>
        <w:rPr>
          <w:rFonts w:ascii="Calibri Light" w:hAnsi="Calibri Light" w:cs="Calibri Light"/>
          <w:sz w:val="20"/>
          <w:szCs w:val="20"/>
        </w:rPr>
        <w:t xml:space="preserve">larger opportunities brought </w:t>
      </w:r>
      <w:r w:rsidR="00144258">
        <w:rPr>
          <w:rFonts w:ascii="Calibri Light" w:hAnsi="Calibri Light" w:cs="Calibri Light"/>
          <w:sz w:val="20"/>
          <w:szCs w:val="20"/>
        </w:rPr>
        <w:t>forward</w:t>
      </w:r>
      <w:r>
        <w:rPr>
          <w:rFonts w:ascii="Calibri Light" w:hAnsi="Calibri Light" w:cs="Calibri Light"/>
          <w:sz w:val="20"/>
          <w:szCs w:val="20"/>
        </w:rPr>
        <w:t xml:space="preserve"> by the Government</w:t>
      </w:r>
      <w:r w:rsidR="003912B3">
        <w:rPr>
          <w:rFonts w:ascii="Calibri Light" w:hAnsi="Calibri Light" w:cs="Calibri Light"/>
          <w:sz w:val="20"/>
          <w:szCs w:val="20"/>
        </w:rPr>
        <w:t xml:space="preserve"> in its commitment to n</w:t>
      </w:r>
      <w:r>
        <w:rPr>
          <w:rFonts w:ascii="Calibri Light" w:hAnsi="Calibri Light" w:cs="Calibri Light"/>
          <w:sz w:val="20"/>
          <w:szCs w:val="20"/>
        </w:rPr>
        <w:t xml:space="preserve">aval </w:t>
      </w:r>
      <w:r w:rsidR="003912B3">
        <w:rPr>
          <w:rFonts w:ascii="Calibri Light" w:hAnsi="Calibri Light" w:cs="Calibri Light"/>
          <w:sz w:val="20"/>
          <w:szCs w:val="20"/>
        </w:rPr>
        <w:t>d</w:t>
      </w:r>
      <w:r>
        <w:rPr>
          <w:rFonts w:ascii="Calibri Light" w:hAnsi="Calibri Light" w:cs="Calibri Light"/>
          <w:sz w:val="20"/>
          <w:szCs w:val="20"/>
        </w:rPr>
        <w:t xml:space="preserve">efence spending and </w:t>
      </w:r>
      <w:r w:rsidR="003912B3">
        <w:rPr>
          <w:rFonts w:ascii="Calibri Light" w:hAnsi="Calibri Light" w:cs="Calibri Light"/>
          <w:sz w:val="20"/>
          <w:szCs w:val="20"/>
        </w:rPr>
        <w:t xml:space="preserve">transitioning </w:t>
      </w:r>
      <w:r w:rsidR="004F4B3A">
        <w:rPr>
          <w:rFonts w:ascii="Calibri Light" w:hAnsi="Calibri Light" w:cs="Calibri Light"/>
          <w:sz w:val="20"/>
          <w:szCs w:val="20"/>
        </w:rPr>
        <w:t xml:space="preserve">to </w:t>
      </w:r>
      <w:r w:rsidR="0031047E">
        <w:rPr>
          <w:rFonts w:ascii="Calibri Light" w:hAnsi="Calibri Light" w:cs="Calibri Light"/>
          <w:sz w:val="20"/>
          <w:szCs w:val="20"/>
        </w:rPr>
        <w:t>green</w:t>
      </w:r>
      <w:r w:rsidR="004F4B3A">
        <w:rPr>
          <w:rFonts w:ascii="Calibri Light" w:hAnsi="Calibri Light" w:cs="Calibri Light"/>
          <w:sz w:val="20"/>
          <w:szCs w:val="20"/>
        </w:rPr>
        <w:t xml:space="preserve"> energy</w:t>
      </w:r>
      <w:r w:rsidR="00AC6EA8">
        <w:rPr>
          <w:rFonts w:ascii="Calibri Light" w:hAnsi="Calibri Light" w:cs="Calibri Light"/>
          <w:sz w:val="20"/>
          <w:szCs w:val="20"/>
        </w:rPr>
        <w:t xml:space="preserve"> </w:t>
      </w:r>
      <w:r>
        <w:rPr>
          <w:rFonts w:ascii="Calibri Light" w:hAnsi="Calibri Light" w:cs="Calibri Light"/>
          <w:sz w:val="20"/>
          <w:szCs w:val="20"/>
        </w:rPr>
        <w:t>by 2030</w:t>
      </w:r>
      <w:r w:rsidR="005F453A">
        <w:rPr>
          <w:rFonts w:ascii="Calibri Light" w:hAnsi="Calibri Light" w:cs="Calibri Light"/>
          <w:sz w:val="20"/>
          <w:szCs w:val="20"/>
        </w:rPr>
        <w:t>.</w:t>
      </w:r>
    </w:p>
    <w:p w14:paraId="3157E912" w14:textId="50D5C839" w:rsidR="004B746A" w:rsidRDefault="00383898"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 xml:space="preserve">Directors believe that the </w:t>
      </w:r>
      <w:r w:rsidR="00397DD0" w:rsidRPr="00083D54">
        <w:rPr>
          <w:rFonts w:ascii="Calibri Light" w:hAnsi="Calibri Light" w:cs="Calibri Light"/>
          <w:sz w:val="20"/>
          <w:szCs w:val="20"/>
        </w:rPr>
        <w:t>Company</w:t>
      </w:r>
      <w:r w:rsidR="00552CC6">
        <w:rPr>
          <w:rFonts w:ascii="Calibri Light" w:hAnsi="Calibri Light" w:cs="Calibri Light"/>
          <w:sz w:val="20"/>
          <w:szCs w:val="20"/>
        </w:rPr>
        <w:t xml:space="preserve"> will achieve</w:t>
      </w:r>
      <w:r w:rsidR="0031047E">
        <w:rPr>
          <w:rFonts w:ascii="Calibri Light" w:hAnsi="Calibri Light" w:cs="Calibri Light"/>
          <w:sz w:val="20"/>
          <w:szCs w:val="20"/>
        </w:rPr>
        <w:t xml:space="preserve"> </w:t>
      </w:r>
      <w:r w:rsidR="00552CC6">
        <w:rPr>
          <w:rFonts w:ascii="Calibri Light" w:hAnsi="Calibri Light" w:cs="Calibri Light"/>
          <w:sz w:val="20"/>
          <w:szCs w:val="20"/>
        </w:rPr>
        <w:t>a</w:t>
      </w:r>
      <w:r w:rsidR="00397DD0" w:rsidRPr="00083D54">
        <w:rPr>
          <w:rFonts w:ascii="Calibri Light" w:hAnsi="Calibri Light" w:cs="Calibri Light"/>
          <w:sz w:val="20"/>
          <w:szCs w:val="20"/>
        </w:rPr>
        <w:t xml:space="preserve"> cash break-even on an annualised basis by the end of the current financial year</w:t>
      </w:r>
      <w:r w:rsidR="008D551A" w:rsidRPr="00083D54">
        <w:rPr>
          <w:rFonts w:ascii="Calibri Light" w:hAnsi="Calibri Light" w:cs="Calibri Light"/>
          <w:sz w:val="20"/>
          <w:szCs w:val="20"/>
        </w:rPr>
        <w:t xml:space="preserve"> (31 December 2021)</w:t>
      </w:r>
      <w:r w:rsidR="00A0674B">
        <w:rPr>
          <w:rFonts w:ascii="Calibri Light" w:hAnsi="Calibri Light" w:cs="Calibri Light"/>
          <w:sz w:val="20"/>
          <w:szCs w:val="20"/>
        </w:rPr>
        <w:t xml:space="preserve"> and will be EBITDA positive in 2022. </w:t>
      </w:r>
    </w:p>
    <w:p w14:paraId="08DB71FB" w14:textId="0EC3149D" w:rsidR="00156BDB" w:rsidRPr="00083D54" w:rsidRDefault="00156BDB"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The Directors are confident that revenue for the 17-month period to December 2021 remains in line with market expectations.</w:t>
      </w:r>
    </w:p>
    <w:p w14:paraId="491BD66A" w14:textId="48184A9F" w:rsidR="008D551A" w:rsidRDefault="00D37E93"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 xml:space="preserve">The Company is negotiating on major </w:t>
      </w:r>
      <w:r w:rsidR="003E4C1C">
        <w:rPr>
          <w:rFonts w:ascii="Calibri Light" w:hAnsi="Calibri Light" w:cs="Calibri Light"/>
          <w:sz w:val="20"/>
          <w:szCs w:val="20"/>
        </w:rPr>
        <w:t xml:space="preserve">new </w:t>
      </w:r>
      <w:r>
        <w:rPr>
          <w:rFonts w:ascii="Calibri Light" w:hAnsi="Calibri Light" w:cs="Calibri Light"/>
          <w:sz w:val="20"/>
          <w:szCs w:val="20"/>
        </w:rPr>
        <w:t xml:space="preserve">potential </w:t>
      </w:r>
      <w:r w:rsidR="008D551A" w:rsidRPr="00083D54">
        <w:rPr>
          <w:rFonts w:ascii="Calibri Light" w:hAnsi="Calibri Light" w:cs="Calibri Light"/>
          <w:sz w:val="20"/>
          <w:szCs w:val="20"/>
        </w:rPr>
        <w:t>contract</w:t>
      </w:r>
      <w:r w:rsidR="003E4C1C">
        <w:rPr>
          <w:rFonts w:ascii="Calibri Light" w:hAnsi="Calibri Light" w:cs="Calibri Light"/>
          <w:sz w:val="20"/>
          <w:szCs w:val="20"/>
        </w:rPr>
        <w:t>s</w:t>
      </w:r>
      <w:r>
        <w:rPr>
          <w:rFonts w:ascii="Calibri Light" w:hAnsi="Calibri Light" w:cs="Calibri Light"/>
          <w:sz w:val="20"/>
          <w:szCs w:val="20"/>
        </w:rPr>
        <w:t xml:space="preserve"> </w:t>
      </w:r>
      <w:r w:rsidR="008D551A" w:rsidRPr="00083D54">
        <w:rPr>
          <w:rFonts w:ascii="Calibri Light" w:hAnsi="Calibri Light" w:cs="Calibri Light"/>
          <w:sz w:val="20"/>
          <w:szCs w:val="20"/>
        </w:rPr>
        <w:t xml:space="preserve">within </w:t>
      </w:r>
      <w:r w:rsidR="00405A1A" w:rsidRPr="00083D54">
        <w:rPr>
          <w:rFonts w:ascii="Calibri Light" w:hAnsi="Calibri Light" w:cs="Calibri Light"/>
          <w:sz w:val="20"/>
          <w:szCs w:val="20"/>
        </w:rPr>
        <w:t xml:space="preserve">cruise &amp; ferry, </w:t>
      </w:r>
      <w:r w:rsidR="00A53431" w:rsidRPr="00083D54">
        <w:rPr>
          <w:rFonts w:ascii="Calibri Light" w:hAnsi="Calibri Light" w:cs="Calibri Light"/>
          <w:sz w:val="20"/>
          <w:szCs w:val="20"/>
        </w:rPr>
        <w:t xml:space="preserve">commercial fabrication, </w:t>
      </w:r>
      <w:proofErr w:type="gramStart"/>
      <w:r w:rsidR="00A53431" w:rsidRPr="00083D54">
        <w:rPr>
          <w:rFonts w:ascii="Calibri Light" w:hAnsi="Calibri Light" w:cs="Calibri Light"/>
          <w:sz w:val="20"/>
          <w:szCs w:val="20"/>
        </w:rPr>
        <w:t>defence</w:t>
      </w:r>
      <w:proofErr w:type="gramEnd"/>
      <w:r w:rsidR="00A53431" w:rsidRPr="00083D54">
        <w:rPr>
          <w:rFonts w:ascii="Calibri Light" w:hAnsi="Calibri Light" w:cs="Calibri Light"/>
          <w:sz w:val="20"/>
          <w:szCs w:val="20"/>
        </w:rPr>
        <w:t xml:space="preserve"> and renewables</w:t>
      </w:r>
      <w:r w:rsidR="00510F2B">
        <w:rPr>
          <w:rFonts w:ascii="Calibri Light" w:hAnsi="Calibri Light" w:cs="Calibri Light"/>
          <w:sz w:val="20"/>
          <w:szCs w:val="20"/>
        </w:rPr>
        <w:t xml:space="preserve"> in order to secure multi-year contracted revenue streams</w:t>
      </w:r>
      <w:r w:rsidR="005F453A">
        <w:rPr>
          <w:rFonts w:ascii="Calibri Light" w:hAnsi="Calibri Light" w:cs="Calibri Light"/>
          <w:sz w:val="20"/>
          <w:szCs w:val="20"/>
        </w:rPr>
        <w:t>.</w:t>
      </w:r>
    </w:p>
    <w:p w14:paraId="1152E2A6" w14:textId="2EAC199A" w:rsidR="003924E8" w:rsidRPr="00083D54" w:rsidRDefault="003924E8" w:rsidP="008128ED">
      <w:pPr>
        <w:pStyle w:val="cc"/>
        <w:numPr>
          <w:ilvl w:val="0"/>
          <w:numId w:val="6"/>
        </w:numPr>
        <w:spacing w:before="0" w:beforeAutospacing="0" w:after="0" w:afterAutospacing="0"/>
        <w:jc w:val="both"/>
        <w:rPr>
          <w:rFonts w:ascii="Calibri Light" w:hAnsi="Calibri Light" w:cs="Calibri Light"/>
          <w:sz w:val="20"/>
          <w:szCs w:val="20"/>
        </w:rPr>
      </w:pPr>
      <w:r>
        <w:rPr>
          <w:rFonts w:ascii="Calibri Light" w:hAnsi="Calibri Light" w:cs="Calibri Light"/>
          <w:sz w:val="20"/>
          <w:szCs w:val="20"/>
        </w:rPr>
        <w:t>31 July</w:t>
      </w:r>
      <w:r w:rsidR="00F66ED0">
        <w:rPr>
          <w:rFonts w:ascii="Calibri Light" w:hAnsi="Calibri Light" w:cs="Calibri Light"/>
          <w:sz w:val="20"/>
          <w:szCs w:val="20"/>
        </w:rPr>
        <w:t xml:space="preserve"> 2021</w:t>
      </w:r>
      <w:r>
        <w:rPr>
          <w:rFonts w:ascii="Calibri Light" w:hAnsi="Calibri Light" w:cs="Calibri Light"/>
          <w:sz w:val="20"/>
          <w:szCs w:val="20"/>
        </w:rPr>
        <w:t xml:space="preserve"> marks the end of the </w:t>
      </w:r>
      <w:r w:rsidR="00F66ED0">
        <w:rPr>
          <w:rFonts w:ascii="Calibri Light" w:hAnsi="Calibri Light" w:cs="Calibri Light"/>
          <w:sz w:val="20"/>
          <w:szCs w:val="20"/>
        </w:rPr>
        <w:t>p</w:t>
      </w:r>
      <w:r>
        <w:rPr>
          <w:rFonts w:ascii="Calibri Light" w:hAnsi="Calibri Light" w:cs="Calibri Light"/>
          <w:sz w:val="20"/>
          <w:szCs w:val="20"/>
        </w:rPr>
        <w:t>eriod of major upgrades across all the yards</w:t>
      </w:r>
      <w:r w:rsidR="005F2E6F">
        <w:rPr>
          <w:rFonts w:ascii="Calibri Light" w:hAnsi="Calibri Light" w:cs="Calibri Light"/>
          <w:sz w:val="20"/>
          <w:szCs w:val="20"/>
        </w:rPr>
        <w:t xml:space="preserve">; </w:t>
      </w:r>
      <w:r>
        <w:rPr>
          <w:rFonts w:ascii="Calibri Light" w:hAnsi="Calibri Light" w:cs="Calibri Light"/>
          <w:sz w:val="20"/>
          <w:szCs w:val="20"/>
        </w:rPr>
        <w:t xml:space="preserve">Harland </w:t>
      </w:r>
      <w:r w:rsidR="005F2E6F">
        <w:rPr>
          <w:rFonts w:ascii="Calibri Light" w:hAnsi="Calibri Light" w:cs="Calibri Light"/>
          <w:sz w:val="20"/>
          <w:szCs w:val="20"/>
        </w:rPr>
        <w:t>&amp;</w:t>
      </w:r>
      <w:r>
        <w:rPr>
          <w:rFonts w:ascii="Calibri Light" w:hAnsi="Calibri Light" w:cs="Calibri Light"/>
          <w:sz w:val="20"/>
          <w:szCs w:val="20"/>
        </w:rPr>
        <w:t xml:space="preserve"> Wolff is now </w:t>
      </w:r>
      <w:r w:rsidR="003A5F88">
        <w:rPr>
          <w:rFonts w:ascii="Calibri Light" w:hAnsi="Calibri Light" w:cs="Calibri Light"/>
          <w:sz w:val="20"/>
          <w:szCs w:val="20"/>
        </w:rPr>
        <w:t>accelerating operations and</w:t>
      </w:r>
      <w:r w:rsidR="005D5A8D">
        <w:rPr>
          <w:rFonts w:ascii="Calibri Light" w:hAnsi="Calibri Light" w:cs="Calibri Light"/>
          <w:sz w:val="20"/>
          <w:szCs w:val="20"/>
        </w:rPr>
        <w:t xml:space="preserve"> has changed </w:t>
      </w:r>
      <w:r w:rsidR="003A5F88">
        <w:rPr>
          <w:rFonts w:ascii="Calibri Light" w:hAnsi="Calibri Light" w:cs="Calibri Light"/>
          <w:sz w:val="20"/>
          <w:szCs w:val="20"/>
        </w:rPr>
        <w:t xml:space="preserve">its focus </w:t>
      </w:r>
      <w:r w:rsidR="005D5A8D">
        <w:rPr>
          <w:rFonts w:ascii="Calibri Light" w:hAnsi="Calibri Light" w:cs="Calibri Light"/>
          <w:sz w:val="20"/>
          <w:szCs w:val="20"/>
        </w:rPr>
        <w:t>from re-establishment of the yards</w:t>
      </w:r>
      <w:r w:rsidR="00EB53E7">
        <w:rPr>
          <w:rFonts w:ascii="Calibri Light" w:hAnsi="Calibri Light" w:cs="Calibri Light"/>
          <w:sz w:val="20"/>
          <w:szCs w:val="20"/>
        </w:rPr>
        <w:t xml:space="preserve"> to converting a substantial pipeline of opportunities into contracts.</w:t>
      </w:r>
      <w:r>
        <w:rPr>
          <w:rFonts w:ascii="Calibri Light" w:hAnsi="Calibri Light" w:cs="Calibri Light"/>
          <w:sz w:val="20"/>
          <w:szCs w:val="20"/>
        </w:rPr>
        <w:t xml:space="preserve"> </w:t>
      </w:r>
    </w:p>
    <w:p w14:paraId="376CF37B" w14:textId="0C7C25AB" w:rsidR="00605A5C" w:rsidRDefault="00605A5C" w:rsidP="008128ED">
      <w:pPr>
        <w:pStyle w:val="BodyText"/>
        <w:rPr>
          <w:rFonts w:asciiTheme="minorHAnsi" w:hAnsiTheme="minorHAnsi" w:cstheme="minorHAnsi"/>
          <w:sz w:val="20"/>
          <w:szCs w:val="20"/>
          <w:highlight w:val="yellow"/>
        </w:rPr>
      </w:pPr>
    </w:p>
    <w:p w14:paraId="299F2FB2" w14:textId="77777777" w:rsidR="00510F2B" w:rsidRDefault="00510F2B" w:rsidP="000E47B4">
      <w:pPr>
        <w:rPr>
          <w:rFonts w:ascii="Calibri Light" w:hAnsi="Calibri Light" w:cs="Calibri Light"/>
          <w:color w:val="000000" w:themeColor="text1"/>
          <w:sz w:val="20"/>
          <w:szCs w:val="20"/>
        </w:rPr>
      </w:pPr>
    </w:p>
    <w:p w14:paraId="189EF79A" w14:textId="77777777" w:rsidR="00510F2B" w:rsidRDefault="00510F2B" w:rsidP="000E47B4">
      <w:pPr>
        <w:rPr>
          <w:rFonts w:ascii="Calibri Light" w:hAnsi="Calibri Light" w:cs="Calibri Light"/>
          <w:color w:val="000000" w:themeColor="text1"/>
          <w:sz w:val="20"/>
          <w:szCs w:val="20"/>
        </w:rPr>
      </w:pPr>
    </w:p>
    <w:p w14:paraId="02532B1D" w14:textId="5AF5893E" w:rsidR="00F033BF" w:rsidRDefault="000E47B4" w:rsidP="000E47B4">
      <w:pPr>
        <w:rPr>
          <w:rFonts w:ascii="Calibri Light" w:hAnsi="Calibri Light" w:cs="Calibri Light"/>
          <w:i/>
          <w:iCs/>
          <w:color w:val="000000" w:themeColor="text1"/>
          <w:sz w:val="20"/>
          <w:szCs w:val="20"/>
        </w:rPr>
      </w:pPr>
      <w:r w:rsidRPr="008F3278">
        <w:rPr>
          <w:rFonts w:ascii="Calibri Light" w:hAnsi="Calibri Light" w:cs="Calibri Light"/>
          <w:color w:val="000000" w:themeColor="text1"/>
          <w:sz w:val="20"/>
          <w:szCs w:val="20"/>
        </w:rPr>
        <w:lastRenderedPageBreak/>
        <w:t xml:space="preserve">John Wood, CEO of </w:t>
      </w:r>
      <w:proofErr w:type="spellStart"/>
      <w:r w:rsidRPr="008F3278">
        <w:rPr>
          <w:rFonts w:ascii="Calibri Light" w:hAnsi="Calibri Light" w:cs="Calibri Light"/>
          <w:color w:val="000000" w:themeColor="text1"/>
          <w:sz w:val="20"/>
          <w:szCs w:val="20"/>
        </w:rPr>
        <w:t>InfraStrata</w:t>
      </w:r>
      <w:proofErr w:type="spellEnd"/>
      <w:r w:rsidRPr="008F3278">
        <w:rPr>
          <w:rFonts w:ascii="Calibri Light" w:hAnsi="Calibri Light" w:cs="Calibri Light"/>
          <w:color w:val="000000" w:themeColor="text1"/>
          <w:sz w:val="20"/>
          <w:szCs w:val="20"/>
        </w:rPr>
        <w:t xml:space="preserve">, commented: </w:t>
      </w:r>
      <w:r w:rsidRPr="008F3278">
        <w:rPr>
          <w:rFonts w:ascii="Calibri Light" w:hAnsi="Calibri Light" w:cs="Calibri Light"/>
          <w:i/>
          <w:iCs/>
          <w:color w:val="000000" w:themeColor="text1"/>
          <w:sz w:val="20"/>
          <w:szCs w:val="20"/>
        </w:rPr>
        <w:t xml:space="preserve">“It is fantastic to be back in an environment where we can meet our clients face to face, which had not been possible since we made our first acquisition in Belfast and commenced the Harland &amp; Wolff journey nearly two years ago. I am encouraged by the increase in revenue across the Group between the July 2020 and July 2021 across all sectors. </w:t>
      </w:r>
      <w:r w:rsidR="00BD7304">
        <w:rPr>
          <w:rFonts w:ascii="Calibri Light" w:hAnsi="Calibri Light" w:cs="Calibri Light"/>
          <w:i/>
          <w:iCs/>
          <w:color w:val="000000" w:themeColor="text1"/>
          <w:sz w:val="20"/>
          <w:szCs w:val="20"/>
        </w:rPr>
        <w:t>We are focussed on</w:t>
      </w:r>
      <w:r w:rsidR="00051799">
        <w:rPr>
          <w:rFonts w:ascii="Calibri Light" w:hAnsi="Calibri Light" w:cs="Calibri Light"/>
          <w:i/>
          <w:iCs/>
          <w:color w:val="000000" w:themeColor="text1"/>
          <w:sz w:val="20"/>
          <w:szCs w:val="20"/>
        </w:rPr>
        <w:t xml:space="preserve"> taking</w:t>
      </w:r>
      <w:r w:rsidRPr="008F3278">
        <w:rPr>
          <w:rFonts w:ascii="Calibri Light" w:hAnsi="Calibri Light" w:cs="Calibri Light"/>
          <w:i/>
          <w:iCs/>
          <w:color w:val="000000" w:themeColor="text1"/>
          <w:sz w:val="20"/>
          <w:szCs w:val="20"/>
        </w:rPr>
        <w:t xml:space="preserve"> the Company to a level of steady revenue flows and achieve our first year of positive EBITDA</w:t>
      </w:r>
      <w:r w:rsidR="003E597A">
        <w:rPr>
          <w:rFonts w:ascii="Calibri Light" w:hAnsi="Calibri Light" w:cs="Calibri Light"/>
          <w:i/>
          <w:iCs/>
          <w:color w:val="000000" w:themeColor="text1"/>
          <w:sz w:val="20"/>
          <w:szCs w:val="20"/>
        </w:rPr>
        <w:t>, expected to be</w:t>
      </w:r>
      <w:r w:rsidRPr="008F3278">
        <w:rPr>
          <w:rFonts w:ascii="Calibri Light" w:hAnsi="Calibri Light" w:cs="Calibri Light"/>
          <w:i/>
          <w:iCs/>
          <w:color w:val="000000" w:themeColor="text1"/>
          <w:sz w:val="20"/>
          <w:szCs w:val="20"/>
        </w:rPr>
        <w:t xml:space="preserve"> in 2022. In order to establish our credibility within the industry, it has been essential to bring the yards back into full operation only after completing all the necessary upgrades to meet best of class technical and operational standards. I am delighted that we </w:t>
      </w:r>
      <w:r w:rsidR="00AC7C8D">
        <w:rPr>
          <w:rFonts w:ascii="Calibri Light" w:hAnsi="Calibri Light" w:cs="Calibri Light"/>
          <w:i/>
          <w:iCs/>
          <w:color w:val="000000" w:themeColor="text1"/>
          <w:sz w:val="20"/>
          <w:szCs w:val="20"/>
        </w:rPr>
        <w:t>have now achieved that</w:t>
      </w:r>
      <w:r w:rsidRPr="008F3278">
        <w:rPr>
          <w:rFonts w:ascii="Calibri Light" w:hAnsi="Calibri Light" w:cs="Calibri Light"/>
          <w:i/>
          <w:iCs/>
          <w:color w:val="000000" w:themeColor="text1"/>
          <w:sz w:val="20"/>
          <w:szCs w:val="20"/>
        </w:rPr>
        <w:t>. Whilst the increased level of spending in the short-term hurts cashflows, and we are very mindful of that, it is</w:t>
      </w:r>
      <w:r w:rsidR="0034202C">
        <w:rPr>
          <w:rFonts w:ascii="Calibri Light" w:hAnsi="Calibri Light" w:cs="Calibri Light"/>
          <w:i/>
          <w:iCs/>
          <w:color w:val="000000" w:themeColor="text1"/>
          <w:sz w:val="20"/>
          <w:szCs w:val="20"/>
        </w:rPr>
        <w:t>, however,</w:t>
      </w:r>
      <w:r w:rsidRPr="008F3278">
        <w:rPr>
          <w:rFonts w:ascii="Calibri Light" w:hAnsi="Calibri Light" w:cs="Calibri Light"/>
          <w:i/>
          <w:iCs/>
          <w:color w:val="000000" w:themeColor="text1"/>
          <w:sz w:val="20"/>
          <w:szCs w:val="20"/>
        </w:rPr>
        <w:t xml:space="preserve"> absolutely necessary that we invest in the business now in order to reap its benefits in the months and years to come. </w:t>
      </w:r>
    </w:p>
    <w:p w14:paraId="62BDAECF" w14:textId="7A78DB5D" w:rsidR="000E47B4" w:rsidRPr="008F3278" w:rsidRDefault="000E47B4" w:rsidP="000E47B4">
      <w:pPr>
        <w:rPr>
          <w:rFonts w:ascii="Calibri Light" w:hAnsi="Calibri Light" w:cs="Calibri Light"/>
          <w:i/>
          <w:iCs/>
          <w:color w:val="000000" w:themeColor="text1"/>
          <w:sz w:val="20"/>
          <w:szCs w:val="20"/>
        </w:rPr>
      </w:pPr>
      <w:r w:rsidRPr="008F3278">
        <w:rPr>
          <w:rFonts w:ascii="Calibri Light" w:hAnsi="Calibri Light" w:cs="Calibri Light"/>
          <w:i/>
          <w:iCs/>
          <w:color w:val="000000" w:themeColor="text1"/>
          <w:sz w:val="20"/>
          <w:szCs w:val="20"/>
        </w:rPr>
        <w:t xml:space="preserve">Our strategy is aligned with Government policy to promote growth, increase </w:t>
      </w:r>
      <w:proofErr w:type="gramStart"/>
      <w:r w:rsidRPr="008F3278">
        <w:rPr>
          <w:rFonts w:ascii="Calibri Light" w:hAnsi="Calibri Light" w:cs="Calibri Light"/>
          <w:i/>
          <w:iCs/>
          <w:color w:val="000000" w:themeColor="text1"/>
          <w:sz w:val="20"/>
          <w:szCs w:val="20"/>
        </w:rPr>
        <w:t>employment</w:t>
      </w:r>
      <w:proofErr w:type="gramEnd"/>
      <w:r w:rsidRPr="008F3278">
        <w:rPr>
          <w:rFonts w:ascii="Calibri Light" w:hAnsi="Calibri Light" w:cs="Calibri Light"/>
          <w:i/>
          <w:iCs/>
          <w:color w:val="000000" w:themeColor="text1"/>
          <w:sz w:val="20"/>
          <w:szCs w:val="20"/>
        </w:rPr>
        <w:t xml:space="preserve"> and kick-start a post-COVID recovery.</w:t>
      </w:r>
      <w:r w:rsidR="005C2512">
        <w:rPr>
          <w:rFonts w:ascii="Calibri Light" w:hAnsi="Calibri Light" w:cs="Calibri Light"/>
          <w:i/>
          <w:iCs/>
          <w:color w:val="000000" w:themeColor="text1"/>
          <w:sz w:val="20"/>
          <w:szCs w:val="20"/>
        </w:rPr>
        <w:t xml:space="preserve"> </w:t>
      </w:r>
      <w:r w:rsidR="005C2512" w:rsidRPr="008F3278">
        <w:rPr>
          <w:rFonts w:ascii="Calibri Light" w:hAnsi="Calibri Light" w:cs="Calibri Light"/>
          <w:i/>
          <w:iCs/>
          <w:color w:val="000000" w:themeColor="text1"/>
          <w:sz w:val="20"/>
          <w:szCs w:val="20"/>
        </w:rPr>
        <w:t xml:space="preserve">With a footprint of over 250 acres, we are now the largest </w:t>
      </w:r>
      <w:r w:rsidR="005C2512">
        <w:rPr>
          <w:rFonts w:ascii="Calibri Light" w:hAnsi="Calibri Light" w:cs="Calibri Light"/>
          <w:i/>
          <w:iCs/>
          <w:color w:val="000000" w:themeColor="text1"/>
          <w:sz w:val="20"/>
          <w:szCs w:val="20"/>
        </w:rPr>
        <w:t>business</w:t>
      </w:r>
      <w:r w:rsidR="005C2512" w:rsidRPr="008F3278">
        <w:rPr>
          <w:rFonts w:ascii="Calibri Light" w:hAnsi="Calibri Light" w:cs="Calibri Light"/>
          <w:i/>
          <w:iCs/>
          <w:color w:val="000000" w:themeColor="text1"/>
          <w:sz w:val="20"/>
          <w:szCs w:val="20"/>
        </w:rPr>
        <w:t xml:space="preserve"> dedicated to the marine construction and fabrication industry in the UK. </w:t>
      </w:r>
      <w:r w:rsidRPr="008F3278">
        <w:rPr>
          <w:rFonts w:ascii="Calibri Light" w:hAnsi="Calibri Light" w:cs="Calibri Light"/>
          <w:i/>
          <w:iCs/>
          <w:color w:val="000000" w:themeColor="text1"/>
          <w:sz w:val="20"/>
          <w:szCs w:val="20"/>
        </w:rPr>
        <w:t xml:space="preserve"> With our investments in people and systems across the </w:t>
      </w:r>
      <w:r w:rsidR="002274B7">
        <w:rPr>
          <w:rFonts w:ascii="Calibri Light" w:hAnsi="Calibri Light" w:cs="Calibri Light"/>
          <w:i/>
          <w:iCs/>
          <w:color w:val="000000" w:themeColor="text1"/>
          <w:sz w:val="20"/>
          <w:szCs w:val="20"/>
        </w:rPr>
        <w:t>G</w:t>
      </w:r>
      <w:r w:rsidRPr="008F3278">
        <w:rPr>
          <w:rFonts w:ascii="Calibri Light" w:hAnsi="Calibri Light" w:cs="Calibri Light"/>
          <w:i/>
          <w:iCs/>
          <w:color w:val="000000" w:themeColor="text1"/>
          <w:sz w:val="20"/>
          <w:szCs w:val="20"/>
        </w:rPr>
        <w:t xml:space="preserve">roup, we are </w:t>
      </w:r>
      <w:r w:rsidR="000D0ED3">
        <w:rPr>
          <w:rFonts w:ascii="Calibri Light" w:hAnsi="Calibri Light" w:cs="Calibri Light"/>
          <w:i/>
          <w:iCs/>
          <w:color w:val="000000" w:themeColor="text1"/>
          <w:sz w:val="20"/>
          <w:szCs w:val="20"/>
        </w:rPr>
        <w:t>in our best</w:t>
      </w:r>
      <w:r w:rsidRPr="008F3278">
        <w:rPr>
          <w:rFonts w:ascii="Calibri Light" w:hAnsi="Calibri Light" w:cs="Calibri Light"/>
          <w:i/>
          <w:iCs/>
          <w:color w:val="000000" w:themeColor="text1"/>
          <w:sz w:val="20"/>
          <w:szCs w:val="20"/>
        </w:rPr>
        <w:t xml:space="preserve"> ever</w:t>
      </w:r>
      <w:r w:rsidR="000D0ED3">
        <w:rPr>
          <w:rFonts w:ascii="Calibri Light" w:hAnsi="Calibri Light" w:cs="Calibri Light"/>
          <w:i/>
          <w:iCs/>
          <w:color w:val="000000" w:themeColor="text1"/>
          <w:sz w:val="20"/>
          <w:szCs w:val="20"/>
        </w:rPr>
        <w:t xml:space="preserve"> position</w:t>
      </w:r>
      <w:r w:rsidRPr="008F3278">
        <w:rPr>
          <w:rFonts w:ascii="Calibri Light" w:hAnsi="Calibri Light" w:cs="Calibri Light"/>
          <w:i/>
          <w:iCs/>
          <w:color w:val="000000" w:themeColor="text1"/>
          <w:sz w:val="20"/>
          <w:szCs w:val="20"/>
        </w:rPr>
        <w:t xml:space="preserve"> to bid for and consummate larger long-term contracts </w:t>
      </w:r>
      <w:r w:rsidR="000D0ED3">
        <w:rPr>
          <w:rFonts w:ascii="Calibri Light" w:hAnsi="Calibri Light" w:cs="Calibri Light"/>
          <w:i/>
          <w:iCs/>
          <w:color w:val="000000" w:themeColor="text1"/>
          <w:sz w:val="20"/>
          <w:szCs w:val="20"/>
        </w:rPr>
        <w:t>as we strive to enhance</w:t>
      </w:r>
      <w:r w:rsidRPr="008F3278">
        <w:rPr>
          <w:rFonts w:ascii="Calibri Light" w:hAnsi="Calibri Light" w:cs="Calibri Light"/>
          <w:i/>
          <w:iCs/>
          <w:color w:val="000000" w:themeColor="text1"/>
          <w:sz w:val="20"/>
          <w:szCs w:val="20"/>
        </w:rPr>
        <w:t xml:space="preserve"> shareholder value.  We estimate that at circa 80% utilisation of the facilities, Harland &amp; Wolff is capable of generating revenues of c£500m per annum.  Whilst we have a lot of work to do to get to that level, the business is now starting to move in that direction with momentum being built across all our five markets.” </w:t>
      </w:r>
    </w:p>
    <w:p w14:paraId="11BDBA56" w14:textId="77777777" w:rsidR="000E47B4" w:rsidRPr="00942104" w:rsidRDefault="000E47B4" w:rsidP="008128ED">
      <w:pPr>
        <w:pStyle w:val="BodyText"/>
        <w:rPr>
          <w:rFonts w:asciiTheme="minorHAnsi" w:hAnsiTheme="minorHAnsi" w:cstheme="minorHAnsi"/>
          <w:sz w:val="20"/>
          <w:szCs w:val="20"/>
          <w:highlight w:val="yellow"/>
        </w:rPr>
      </w:pPr>
    </w:p>
    <w:p w14:paraId="244E6FC5" w14:textId="77777777" w:rsidR="00605A5C" w:rsidRPr="00942104" w:rsidRDefault="00605A5C" w:rsidP="00605A5C">
      <w:pPr>
        <w:jc w:val="both"/>
        <w:rPr>
          <w:rFonts w:asciiTheme="minorHAnsi" w:hAnsiTheme="minorHAnsi" w:cstheme="minorHAnsi"/>
          <w:iCs/>
          <w:sz w:val="20"/>
          <w:szCs w:val="20"/>
          <w:highlight w:val="yellow"/>
        </w:rPr>
      </w:pPr>
    </w:p>
    <w:p w14:paraId="467C63AE" w14:textId="2856CE87" w:rsidR="00605A5C" w:rsidRPr="0035718F" w:rsidRDefault="00427A7C" w:rsidP="00605A5C">
      <w:pPr>
        <w:spacing w:before="1"/>
        <w:rPr>
          <w:rFonts w:asciiTheme="minorHAnsi" w:hAnsiTheme="minorHAnsi" w:cstheme="minorHAnsi"/>
          <w:b/>
          <w:sz w:val="20"/>
          <w:szCs w:val="20"/>
        </w:rPr>
      </w:pPr>
      <w:r w:rsidRPr="0035718F">
        <w:rPr>
          <w:rFonts w:asciiTheme="minorHAnsi" w:hAnsiTheme="minorHAnsi" w:cstheme="minorHAnsi"/>
          <w:b/>
          <w:sz w:val="20"/>
          <w:szCs w:val="20"/>
        </w:rPr>
        <w:t xml:space="preserve">Operational </w:t>
      </w:r>
      <w:r w:rsidR="00605A5C" w:rsidRPr="0035718F">
        <w:rPr>
          <w:rFonts w:asciiTheme="minorHAnsi" w:hAnsiTheme="minorHAnsi" w:cstheme="minorHAnsi"/>
          <w:b/>
          <w:sz w:val="20"/>
          <w:szCs w:val="20"/>
        </w:rPr>
        <w:t>Review</w:t>
      </w:r>
    </w:p>
    <w:p w14:paraId="2D08EA45" w14:textId="77777777" w:rsidR="00605A5C" w:rsidRPr="00942104" w:rsidRDefault="00605A5C" w:rsidP="00605A5C">
      <w:pPr>
        <w:spacing w:before="1"/>
        <w:ind w:left="1060"/>
        <w:rPr>
          <w:rFonts w:asciiTheme="minorHAnsi" w:hAnsiTheme="minorHAnsi" w:cstheme="minorHAnsi"/>
          <w:b/>
          <w:sz w:val="20"/>
          <w:szCs w:val="20"/>
          <w:highlight w:val="yellow"/>
        </w:rPr>
      </w:pPr>
    </w:p>
    <w:p w14:paraId="1D62F13B" w14:textId="77777777" w:rsidR="000A3A3C" w:rsidRPr="000A0652" w:rsidRDefault="000A3A3C" w:rsidP="000A3A3C">
      <w:pPr>
        <w:jc w:val="both"/>
        <w:rPr>
          <w:rFonts w:eastAsia="Times New Roman"/>
          <w:b/>
          <w:bCs/>
        </w:rPr>
      </w:pPr>
      <w:r w:rsidRPr="000A0652">
        <w:rPr>
          <w:rFonts w:ascii="Calibri Light" w:eastAsia="Times New Roman" w:hAnsi="Calibri Light" w:cs="Calibri Light"/>
          <w:b/>
          <w:bCs/>
          <w:sz w:val="20"/>
          <w:szCs w:val="20"/>
        </w:rPr>
        <w:t>Cruise &amp; Ferry Market</w:t>
      </w:r>
    </w:p>
    <w:p w14:paraId="77CD25C5" w14:textId="38E71D0B"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The Company expects to welcome circa </w:t>
      </w:r>
      <w:r w:rsidR="00A440A0">
        <w:rPr>
          <w:rFonts w:ascii="Calibri Light" w:eastAsia="Times New Roman" w:hAnsi="Calibri Light" w:cs="Calibri Light"/>
          <w:sz w:val="20"/>
          <w:szCs w:val="20"/>
        </w:rPr>
        <w:t xml:space="preserve">nine </w:t>
      </w:r>
      <w:r>
        <w:rPr>
          <w:rFonts w:ascii="Calibri Light" w:eastAsia="Times New Roman" w:hAnsi="Calibri Light" w:cs="Calibri Light"/>
          <w:sz w:val="20"/>
          <w:szCs w:val="20"/>
        </w:rPr>
        <w:t xml:space="preserve">ferry vessels in </w:t>
      </w:r>
      <w:r w:rsidR="008C5410">
        <w:rPr>
          <w:rFonts w:ascii="Calibri Light" w:eastAsia="Times New Roman" w:hAnsi="Calibri Light" w:cs="Calibri Light"/>
          <w:sz w:val="20"/>
          <w:szCs w:val="20"/>
        </w:rPr>
        <w:t>November and December</w:t>
      </w:r>
      <w:r>
        <w:rPr>
          <w:rFonts w:ascii="Calibri Light" w:eastAsia="Times New Roman" w:hAnsi="Calibri Light" w:cs="Calibri Light"/>
          <w:sz w:val="20"/>
          <w:szCs w:val="20"/>
        </w:rPr>
        <w:t xml:space="preserve"> spanning </w:t>
      </w:r>
      <w:r w:rsidR="00B57177">
        <w:rPr>
          <w:rFonts w:ascii="Calibri Light" w:eastAsia="Times New Roman" w:hAnsi="Calibri Light" w:cs="Calibri Light"/>
          <w:sz w:val="20"/>
          <w:szCs w:val="20"/>
        </w:rPr>
        <w:t>a</w:t>
      </w:r>
      <w:r>
        <w:rPr>
          <w:rFonts w:ascii="Calibri Light" w:eastAsia="Times New Roman" w:hAnsi="Calibri Light" w:cs="Calibri Light"/>
          <w:sz w:val="20"/>
          <w:szCs w:val="20"/>
        </w:rPr>
        <w:t xml:space="preserve"> range of works across them. This set of vessels also includes the three-vessel deal announced earlier in the year. Almost all clients are repeat clients, and the Company is currently in the process of generating a contracted</w:t>
      </w:r>
      <w:r w:rsidR="00AB4791">
        <w:rPr>
          <w:rFonts w:ascii="Calibri Light" w:eastAsia="Times New Roman" w:hAnsi="Calibri Light" w:cs="Calibri Light"/>
          <w:sz w:val="20"/>
          <w:szCs w:val="20"/>
        </w:rPr>
        <w:t xml:space="preserve"> revenue stream</w:t>
      </w:r>
      <w:r>
        <w:rPr>
          <w:rFonts w:ascii="Calibri Light" w:eastAsia="Times New Roman" w:hAnsi="Calibri Light" w:cs="Calibri Light"/>
          <w:sz w:val="20"/>
          <w:szCs w:val="20"/>
        </w:rPr>
        <w:t xml:space="preserve"> backlog for 2022 in the ferry repair market. The cruise market continues to experience COVID related uncertainties leading to delays in executing contracts and having cruise vessels in the shipyard. Cruise vessel dry dockings are normally planned at least 12 months in advance. On that basis, the Company is actively engaged with its cruise clients to dry dock their ships in 2022 and 2023. </w:t>
      </w:r>
    </w:p>
    <w:p w14:paraId="57D441AD" w14:textId="5B2BE6DF" w:rsidR="003924E8" w:rsidRDefault="003924E8" w:rsidP="000A3A3C">
      <w:pPr>
        <w:jc w:val="both"/>
        <w:rPr>
          <w:rFonts w:ascii="Calibri Light" w:eastAsia="Times New Roman" w:hAnsi="Calibri Light" w:cs="Calibri Light"/>
          <w:sz w:val="20"/>
          <w:szCs w:val="20"/>
        </w:rPr>
      </w:pPr>
    </w:p>
    <w:p w14:paraId="3E44F2C5" w14:textId="00D142AB" w:rsidR="003924E8" w:rsidRDefault="00021E0A"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With the desire</w:t>
      </w:r>
      <w:r w:rsidR="003924E8">
        <w:rPr>
          <w:rFonts w:ascii="Calibri Light" w:eastAsia="Times New Roman" w:hAnsi="Calibri Light" w:cs="Calibri Light"/>
          <w:sz w:val="20"/>
          <w:szCs w:val="20"/>
        </w:rPr>
        <w:t xml:space="preserve"> to increase onboard revenues</w:t>
      </w:r>
      <w:r w:rsidR="00822A90">
        <w:rPr>
          <w:rFonts w:ascii="Calibri Light" w:eastAsia="Times New Roman" w:hAnsi="Calibri Light" w:cs="Calibri Light"/>
          <w:sz w:val="20"/>
          <w:szCs w:val="20"/>
        </w:rPr>
        <w:t xml:space="preserve">, there will be a need for a </w:t>
      </w:r>
      <w:r w:rsidR="003924E8">
        <w:rPr>
          <w:rFonts w:ascii="Calibri Light" w:eastAsia="Times New Roman" w:hAnsi="Calibri Light" w:cs="Calibri Light"/>
          <w:sz w:val="20"/>
          <w:szCs w:val="20"/>
        </w:rPr>
        <w:t>substantial number of dry</w:t>
      </w:r>
      <w:r w:rsidR="00822A90">
        <w:rPr>
          <w:rFonts w:ascii="Calibri Light" w:eastAsia="Times New Roman" w:hAnsi="Calibri Light" w:cs="Calibri Light"/>
          <w:sz w:val="20"/>
          <w:szCs w:val="20"/>
        </w:rPr>
        <w:t xml:space="preserve"> </w:t>
      </w:r>
      <w:r w:rsidR="003924E8">
        <w:rPr>
          <w:rFonts w:ascii="Calibri Light" w:eastAsia="Times New Roman" w:hAnsi="Calibri Light" w:cs="Calibri Light"/>
          <w:sz w:val="20"/>
          <w:szCs w:val="20"/>
        </w:rPr>
        <w:t xml:space="preserve">dockings, </w:t>
      </w:r>
      <w:r w:rsidR="00590F77">
        <w:rPr>
          <w:rFonts w:ascii="Calibri Light" w:eastAsia="Times New Roman" w:hAnsi="Calibri Light" w:cs="Calibri Light"/>
          <w:sz w:val="20"/>
          <w:szCs w:val="20"/>
        </w:rPr>
        <w:t xml:space="preserve">which, in turn, </w:t>
      </w:r>
      <w:r w:rsidR="003924E8">
        <w:rPr>
          <w:rFonts w:ascii="Calibri Light" w:eastAsia="Times New Roman" w:hAnsi="Calibri Light" w:cs="Calibri Light"/>
          <w:sz w:val="20"/>
          <w:szCs w:val="20"/>
        </w:rPr>
        <w:t xml:space="preserve">will also lead to longer and more </w:t>
      </w:r>
      <w:r w:rsidR="00DE0127">
        <w:rPr>
          <w:rFonts w:ascii="Calibri Light" w:eastAsia="Times New Roman" w:hAnsi="Calibri Light" w:cs="Calibri Light"/>
          <w:sz w:val="20"/>
          <w:szCs w:val="20"/>
        </w:rPr>
        <w:t>extensive</w:t>
      </w:r>
      <w:r w:rsidR="003924E8">
        <w:rPr>
          <w:rFonts w:ascii="Calibri Light" w:eastAsia="Times New Roman" w:hAnsi="Calibri Light" w:cs="Calibri Light"/>
          <w:sz w:val="20"/>
          <w:szCs w:val="20"/>
        </w:rPr>
        <w:t xml:space="preserve"> docking</w:t>
      </w:r>
      <w:r w:rsidR="00DE0127">
        <w:rPr>
          <w:rFonts w:ascii="Calibri Light" w:eastAsia="Times New Roman" w:hAnsi="Calibri Light" w:cs="Calibri Light"/>
          <w:sz w:val="20"/>
          <w:szCs w:val="20"/>
        </w:rPr>
        <w:t xml:space="preserve"> periods thereby</w:t>
      </w:r>
      <w:r w:rsidR="003924E8">
        <w:rPr>
          <w:rFonts w:ascii="Calibri Light" w:eastAsia="Times New Roman" w:hAnsi="Calibri Light" w:cs="Calibri Light"/>
          <w:sz w:val="20"/>
          <w:szCs w:val="20"/>
        </w:rPr>
        <w:t xml:space="preserve"> creating </w:t>
      </w:r>
      <w:r w:rsidR="00DE0127">
        <w:rPr>
          <w:rFonts w:ascii="Calibri Light" w:eastAsia="Times New Roman" w:hAnsi="Calibri Light" w:cs="Calibri Light"/>
          <w:sz w:val="20"/>
          <w:szCs w:val="20"/>
        </w:rPr>
        <w:t>h</w:t>
      </w:r>
      <w:r w:rsidR="003924E8">
        <w:rPr>
          <w:rFonts w:ascii="Calibri Light" w:eastAsia="Times New Roman" w:hAnsi="Calibri Light" w:cs="Calibri Light"/>
          <w:sz w:val="20"/>
          <w:szCs w:val="20"/>
        </w:rPr>
        <w:t>igher spend profile</w:t>
      </w:r>
      <w:r w:rsidR="00DE0127">
        <w:rPr>
          <w:rFonts w:ascii="Calibri Light" w:eastAsia="Times New Roman" w:hAnsi="Calibri Light" w:cs="Calibri Light"/>
          <w:sz w:val="20"/>
          <w:szCs w:val="20"/>
        </w:rPr>
        <w:t>s in the dry docks</w:t>
      </w:r>
      <w:r w:rsidR="003924E8">
        <w:rPr>
          <w:rFonts w:ascii="Calibri Light" w:eastAsia="Times New Roman" w:hAnsi="Calibri Light" w:cs="Calibri Light"/>
          <w:sz w:val="20"/>
          <w:szCs w:val="20"/>
        </w:rPr>
        <w:t>.</w:t>
      </w:r>
      <w:r w:rsidR="007178FE">
        <w:rPr>
          <w:rFonts w:ascii="Calibri Light" w:eastAsia="Times New Roman" w:hAnsi="Calibri Light" w:cs="Calibri Light"/>
          <w:sz w:val="20"/>
          <w:szCs w:val="20"/>
        </w:rPr>
        <w:t xml:space="preserve">  Whilst there still remains uncertainty in this </w:t>
      </w:r>
      <w:r w:rsidR="00807A2C">
        <w:rPr>
          <w:rFonts w:ascii="Calibri Light" w:eastAsia="Times New Roman" w:hAnsi="Calibri Light" w:cs="Calibri Light"/>
          <w:sz w:val="20"/>
          <w:szCs w:val="20"/>
        </w:rPr>
        <w:t xml:space="preserve">market, the Company has made good use of this time and </w:t>
      </w:r>
      <w:r w:rsidR="007178FE">
        <w:rPr>
          <w:rFonts w:ascii="Calibri Light" w:eastAsia="Times New Roman" w:hAnsi="Calibri Light" w:cs="Calibri Light"/>
          <w:sz w:val="20"/>
          <w:szCs w:val="20"/>
        </w:rPr>
        <w:t>relationships continue to build</w:t>
      </w:r>
      <w:r w:rsidR="00807A2C">
        <w:rPr>
          <w:rFonts w:ascii="Calibri Light" w:eastAsia="Times New Roman" w:hAnsi="Calibri Light" w:cs="Calibri Light"/>
          <w:sz w:val="20"/>
          <w:szCs w:val="20"/>
        </w:rPr>
        <w:t xml:space="preserve"> across the globe</w:t>
      </w:r>
      <w:r w:rsidR="003E2139">
        <w:rPr>
          <w:rFonts w:ascii="Calibri Light" w:eastAsia="Times New Roman" w:hAnsi="Calibri Light" w:cs="Calibri Light"/>
          <w:sz w:val="20"/>
          <w:szCs w:val="20"/>
        </w:rPr>
        <w:t>. The Company is pleased to report that</w:t>
      </w:r>
      <w:r w:rsidR="000D0ED3">
        <w:rPr>
          <w:rFonts w:ascii="Calibri Light" w:eastAsia="Times New Roman" w:hAnsi="Calibri Light" w:cs="Calibri Light"/>
          <w:sz w:val="20"/>
          <w:szCs w:val="20"/>
        </w:rPr>
        <w:t>,</w:t>
      </w:r>
      <w:r w:rsidR="003E2139">
        <w:rPr>
          <w:rFonts w:ascii="Calibri Light" w:eastAsia="Times New Roman" w:hAnsi="Calibri Light" w:cs="Calibri Light"/>
          <w:sz w:val="20"/>
          <w:szCs w:val="20"/>
        </w:rPr>
        <w:t xml:space="preserve"> post the period end, it won and executed its </w:t>
      </w:r>
      <w:r w:rsidR="00177FE9">
        <w:rPr>
          <w:rFonts w:ascii="Calibri Light" w:eastAsia="Times New Roman" w:hAnsi="Calibri Light" w:cs="Calibri Light"/>
          <w:sz w:val="20"/>
          <w:szCs w:val="20"/>
        </w:rPr>
        <w:t>first in-service support contract onboard the “Scarlet Lady” – a Virgin Cruises vessel.</w:t>
      </w:r>
    </w:p>
    <w:p w14:paraId="19F36F76" w14:textId="51835017" w:rsidR="003924E8" w:rsidRDefault="003924E8" w:rsidP="000A3A3C">
      <w:pPr>
        <w:jc w:val="both"/>
        <w:rPr>
          <w:rFonts w:ascii="Calibri Light" w:eastAsia="Times New Roman" w:hAnsi="Calibri Light" w:cs="Calibri Light"/>
          <w:sz w:val="20"/>
          <w:szCs w:val="20"/>
        </w:rPr>
      </w:pPr>
    </w:p>
    <w:p w14:paraId="0457E253" w14:textId="3C013928" w:rsidR="0018639D" w:rsidRPr="008A2021" w:rsidRDefault="001E24A0"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On the ferry repair side, which continues to remain the baseload work that flows through the Belfast repair dock, </w:t>
      </w:r>
      <w:r w:rsidR="00657C39">
        <w:rPr>
          <w:rFonts w:ascii="Calibri Light" w:eastAsia="Times New Roman" w:hAnsi="Calibri Light" w:cs="Calibri Light"/>
          <w:sz w:val="20"/>
          <w:szCs w:val="20"/>
        </w:rPr>
        <w:t xml:space="preserve">the Company is negotiating </w:t>
      </w:r>
      <w:r w:rsidR="0018639D">
        <w:rPr>
          <w:rFonts w:ascii="Calibri Light" w:eastAsia="Times New Roman" w:hAnsi="Calibri Light" w:cs="Calibri Light"/>
          <w:sz w:val="20"/>
          <w:szCs w:val="20"/>
        </w:rPr>
        <w:t xml:space="preserve">block bookings and group deals to </w:t>
      </w:r>
      <w:r w:rsidR="00762631">
        <w:rPr>
          <w:rFonts w:ascii="Calibri Light" w:eastAsia="Times New Roman" w:hAnsi="Calibri Light" w:cs="Calibri Light"/>
          <w:sz w:val="20"/>
          <w:szCs w:val="20"/>
        </w:rPr>
        <w:t xml:space="preserve">not only </w:t>
      </w:r>
      <w:r w:rsidR="0018639D">
        <w:rPr>
          <w:rFonts w:ascii="Calibri Light" w:eastAsia="Times New Roman" w:hAnsi="Calibri Light" w:cs="Calibri Light"/>
          <w:sz w:val="20"/>
          <w:szCs w:val="20"/>
        </w:rPr>
        <w:t xml:space="preserve">create value for </w:t>
      </w:r>
      <w:r w:rsidR="00762631">
        <w:rPr>
          <w:rFonts w:ascii="Calibri Light" w:eastAsia="Times New Roman" w:hAnsi="Calibri Light" w:cs="Calibri Light"/>
          <w:sz w:val="20"/>
          <w:szCs w:val="20"/>
        </w:rPr>
        <w:t>its</w:t>
      </w:r>
      <w:r w:rsidR="0018639D">
        <w:rPr>
          <w:rFonts w:ascii="Calibri Light" w:eastAsia="Times New Roman" w:hAnsi="Calibri Light" w:cs="Calibri Light"/>
          <w:sz w:val="20"/>
          <w:szCs w:val="20"/>
        </w:rPr>
        <w:t xml:space="preserve"> clients</w:t>
      </w:r>
      <w:r w:rsidR="00762631">
        <w:rPr>
          <w:rFonts w:ascii="Calibri Light" w:eastAsia="Times New Roman" w:hAnsi="Calibri Light" w:cs="Calibri Light"/>
          <w:sz w:val="20"/>
          <w:szCs w:val="20"/>
        </w:rPr>
        <w:t xml:space="preserve">, but to also </w:t>
      </w:r>
      <w:r w:rsidR="0018639D">
        <w:rPr>
          <w:rFonts w:ascii="Calibri Light" w:eastAsia="Times New Roman" w:hAnsi="Calibri Light" w:cs="Calibri Light"/>
          <w:sz w:val="20"/>
          <w:szCs w:val="20"/>
        </w:rPr>
        <w:t xml:space="preserve">build a </w:t>
      </w:r>
      <w:r w:rsidR="008F6895">
        <w:rPr>
          <w:rFonts w:ascii="Calibri Light" w:eastAsia="Times New Roman" w:hAnsi="Calibri Light" w:cs="Calibri Light"/>
          <w:sz w:val="20"/>
          <w:szCs w:val="20"/>
        </w:rPr>
        <w:t xml:space="preserve">contracted </w:t>
      </w:r>
      <w:r w:rsidR="00AB4791">
        <w:rPr>
          <w:rFonts w:ascii="Calibri Light" w:eastAsia="Times New Roman" w:hAnsi="Calibri Light" w:cs="Calibri Light"/>
          <w:sz w:val="20"/>
          <w:szCs w:val="20"/>
        </w:rPr>
        <w:t xml:space="preserve">revenue stream </w:t>
      </w:r>
      <w:r w:rsidR="0018639D">
        <w:rPr>
          <w:rFonts w:ascii="Calibri Light" w:eastAsia="Times New Roman" w:hAnsi="Calibri Light" w:cs="Calibri Light"/>
          <w:sz w:val="20"/>
          <w:szCs w:val="20"/>
        </w:rPr>
        <w:t>ensur</w:t>
      </w:r>
      <w:r w:rsidR="008F6895">
        <w:rPr>
          <w:rFonts w:ascii="Calibri Light" w:eastAsia="Times New Roman" w:hAnsi="Calibri Light" w:cs="Calibri Light"/>
          <w:sz w:val="20"/>
          <w:szCs w:val="20"/>
        </w:rPr>
        <w:t>ing</w:t>
      </w:r>
      <w:r w:rsidR="0018639D">
        <w:rPr>
          <w:rFonts w:ascii="Calibri Light" w:eastAsia="Times New Roman" w:hAnsi="Calibri Light" w:cs="Calibri Light"/>
          <w:sz w:val="20"/>
          <w:szCs w:val="20"/>
        </w:rPr>
        <w:t xml:space="preserve"> optimisation of </w:t>
      </w:r>
      <w:r w:rsidR="008F6895">
        <w:rPr>
          <w:rFonts w:ascii="Calibri Light" w:eastAsia="Times New Roman" w:hAnsi="Calibri Light" w:cs="Calibri Light"/>
          <w:sz w:val="20"/>
          <w:szCs w:val="20"/>
        </w:rPr>
        <w:t>the facilities</w:t>
      </w:r>
      <w:r w:rsidR="00FA2427">
        <w:rPr>
          <w:rFonts w:ascii="Calibri Light" w:eastAsia="Times New Roman" w:hAnsi="Calibri Light" w:cs="Calibri Light"/>
          <w:sz w:val="20"/>
          <w:szCs w:val="20"/>
        </w:rPr>
        <w:t xml:space="preserve">. </w:t>
      </w:r>
      <w:r w:rsidR="0018639D">
        <w:rPr>
          <w:rFonts w:ascii="Calibri Light" w:eastAsia="Times New Roman" w:hAnsi="Calibri Light" w:cs="Calibri Light"/>
          <w:sz w:val="20"/>
          <w:szCs w:val="20"/>
        </w:rPr>
        <w:t>On the newbuild side</w:t>
      </w:r>
      <w:r w:rsidR="00FA2427">
        <w:rPr>
          <w:rFonts w:ascii="Calibri Light" w:eastAsia="Times New Roman" w:hAnsi="Calibri Light" w:cs="Calibri Light"/>
          <w:sz w:val="20"/>
          <w:szCs w:val="20"/>
        </w:rPr>
        <w:t>, the Company is cur</w:t>
      </w:r>
      <w:r w:rsidR="00251D13">
        <w:rPr>
          <w:rFonts w:ascii="Calibri Light" w:eastAsia="Times New Roman" w:hAnsi="Calibri Light" w:cs="Calibri Light"/>
          <w:sz w:val="20"/>
          <w:szCs w:val="20"/>
        </w:rPr>
        <w:t>r</w:t>
      </w:r>
      <w:r w:rsidR="00FA2427">
        <w:rPr>
          <w:rFonts w:ascii="Calibri Light" w:eastAsia="Times New Roman" w:hAnsi="Calibri Light" w:cs="Calibri Light"/>
          <w:sz w:val="20"/>
          <w:szCs w:val="20"/>
        </w:rPr>
        <w:t>ently</w:t>
      </w:r>
      <w:r w:rsidR="00037962">
        <w:rPr>
          <w:rFonts w:ascii="Calibri Light" w:eastAsia="Times New Roman" w:hAnsi="Calibri Light" w:cs="Calibri Light"/>
          <w:sz w:val="20"/>
          <w:szCs w:val="20"/>
        </w:rPr>
        <w:t xml:space="preserve"> </w:t>
      </w:r>
      <w:r w:rsidR="0018639D">
        <w:rPr>
          <w:rFonts w:ascii="Calibri Light" w:eastAsia="Times New Roman" w:hAnsi="Calibri Light" w:cs="Calibri Light"/>
          <w:sz w:val="20"/>
          <w:szCs w:val="20"/>
        </w:rPr>
        <w:t xml:space="preserve">tendering for six newbuilds in </w:t>
      </w:r>
      <w:r w:rsidR="00037962">
        <w:rPr>
          <w:rFonts w:ascii="Calibri Light" w:eastAsia="Times New Roman" w:hAnsi="Calibri Light" w:cs="Calibri Light"/>
          <w:sz w:val="20"/>
          <w:szCs w:val="20"/>
        </w:rPr>
        <w:t>the ferry market</w:t>
      </w:r>
      <w:r w:rsidR="0018639D">
        <w:rPr>
          <w:rFonts w:ascii="Calibri Light" w:eastAsia="Times New Roman" w:hAnsi="Calibri Light" w:cs="Calibri Light"/>
          <w:sz w:val="20"/>
          <w:szCs w:val="20"/>
        </w:rPr>
        <w:t xml:space="preserve">, two of </w:t>
      </w:r>
      <w:r w:rsidR="00037962">
        <w:rPr>
          <w:rFonts w:ascii="Calibri Light" w:eastAsia="Times New Roman" w:hAnsi="Calibri Light" w:cs="Calibri Light"/>
          <w:sz w:val="20"/>
          <w:szCs w:val="20"/>
        </w:rPr>
        <w:t>w</w:t>
      </w:r>
      <w:r w:rsidR="001432D6">
        <w:rPr>
          <w:rFonts w:ascii="Calibri Light" w:eastAsia="Times New Roman" w:hAnsi="Calibri Light" w:cs="Calibri Light"/>
          <w:sz w:val="20"/>
          <w:szCs w:val="20"/>
        </w:rPr>
        <w:t>hich</w:t>
      </w:r>
      <w:r w:rsidR="0018639D">
        <w:rPr>
          <w:rFonts w:ascii="Calibri Light" w:eastAsia="Times New Roman" w:hAnsi="Calibri Light" w:cs="Calibri Light"/>
          <w:sz w:val="20"/>
          <w:szCs w:val="20"/>
        </w:rPr>
        <w:t xml:space="preserve"> are due to be awarded in Q4 2021 </w:t>
      </w:r>
      <w:r w:rsidR="001432D6">
        <w:rPr>
          <w:rFonts w:ascii="Calibri Light" w:eastAsia="Times New Roman" w:hAnsi="Calibri Light" w:cs="Calibri Light"/>
          <w:sz w:val="20"/>
          <w:szCs w:val="20"/>
        </w:rPr>
        <w:t xml:space="preserve">and the remaining </w:t>
      </w:r>
      <w:r w:rsidR="0018639D">
        <w:rPr>
          <w:rFonts w:ascii="Calibri Light" w:eastAsia="Times New Roman" w:hAnsi="Calibri Light" w:cs="Calibri Light"/>
          <w:sz w:val="20"/>
          <w:szCs w:val="20"/>
        </w:rPr>
        <w:t>in 2022</w:t>
      </w:r>
      <w:r w:rsidR="001432D6">
        <w:rPr>
          <w:rFonts w:ascii="Calibri Light" w:eastAsia="Times New Roman" w:hAnsi="Calibri Light" w:cs="Calibri Light"/>
          <w:sz w:val="20"/>
          <w:szCs w:val="20"/>
        </w:rPr>
        <w:t xml:space="preserve">. All these </w:t>
      </w:r>
      <w:r w:rsidR="0018639D">
        <w:rPr>
          <w:rFonts w:ascii="Calibri Light" w:eastAsia="Times New Roman" w:hAnsi="Calibri Light" w:cs="Calibri Light"/>
          <w:sz w:val="20"/>
          <w:szCs w:val="20"/>
        </w:rPr>
        <w:t xml:space="preserve">projects </w:t>
      </w:r>
      <w:r w:rsidR="001432D6">
        <w:rPr>
          <w:rFonts w:ascii="Calibri Light" w:eastAsia="Times New Roman" w:hAnsi="Calibri Light" w:cs="Calibri Light"/>
          <w:sz w:val="20"/>
          <w:szCs w:val="20"/>
        </w:rPr>
        <w:t xml:space="preserve">will </w:t>
      </w:r>
      <w:r w:rsidR="0018639D">
        <w:rPr>
          <w:rFonts w:ascii="Calibri Light" w:eastAsia="Times New Roman" w:hAnsi="Calibri Light" w:cs="Calibri Light"/>
          <w:sz w:val="20"/>
          <w:szCs w:val="20"/>
        </w:rPr>
        <w:t>be multi</w:t>
      </w:r>
      <w:r w:rsidR="000B23E4">
        <w:rPr>
          <w:rFonts w:ascii="Calibri Light" w:eastAsia="Times New Roman" w:hAnsi="Calibri Light" w:cs="Calibri Light"/>
          <w:sz w:val="20"/>
          <w:szCs w:val="20"/>
        </w:rPr>
        <w:t>-</w:t>
      </w:r>
      <w:r w:rsidR="0018639D">
        <w:rPr>
          <w:rFonts w:ascii="Calibri Light" w:eastAsia="Times New Roman" w:hAnsi="Calibri Light" w:cs="Calibri Light"/>
          <w:sz w:val="20"/>
          <w:szCs w:val="20"/>
        </w:rPr>
        <w:t>year and could utilise</w:t>
      </w:r>
      <w:r w:rsidR="000B23E4">
        <w:rPr>
          <w:rFonts w:ascii="Calibri Light" w:eastAsia="Times New Roman" w:hAnsi="Calibri Light" w:cs="Calibri Light"/>
          <w:sz w:val="20"/>
          <w:szCs w:val="20"/>
        </w:rPr>
        <w:t xml:space="preserve"> both the Belfast and Appledore yards in tandem, should the Company be successful in winning one or more of these tenders. </w:t>
      </w:r>
    </w:p>
    <w:p w14:paraId="142EDF65" w14:textId="77777777" w:rsidR="000A3A3C" w:rsidRPr="000A0652" w:rsidRDefault="000A3A3C" w:rsidP="000A3A3C">
      <w:pPr>
        <w:jc w:val="both"/>
        <w:rPr>
          <w:rFonts w:eastAsia="Times New Roman"/>
        </w:rPr>
      </w:pPr>
      <w:r w:rsidRPr="000A0652">
        <w:rPr>
          <w:rFonts w:ascii="Calibri Light" w:eastAsia="Times New Roman" w:hAnsi="Calibri Light" w:cs="Calibri Light"/>
          <w:sz w:val="20"/>
          <w:szCs w:val="20"/>
        </w:rPr>
        <w:t> </w:t>
      </w:r>
    </w:p>
    <w:p w14:paraId="653CDDA9" w14:textId="77777777" w:rsidR="000A3A3C" w:rsidRPr="000A0652" w:rsidRDefault="000A3A3C" w:rsidP="000A3A3C">
      <w:pPr>
        <w:jc w:val="both"/>
        <w:rPr>
          <w:rFonts w:eastAsia="Times New Roman"/>
          <w:b/>
          <w:bCs/>
        </w:rPr>
      </w:pPr>
      <w:r w:rsidRPr="000A0652">
        <w:rPr>
          <w:rFonts w:ascii="Calibri Light" w:eastAsia="Times New Roman" w:hAnsi="Calibri Light" w:cs="Calibri Light"/>
          <w:b/>
          <w:bCs/>
          <w:sz w:val="20"/>
          <w:szCs w:val="20"/>
        </w:rPr>
        <w:t>Renewables</w:t>
      </w:r>
    </w:p>
    <w:p w14:paraId="6B109088" w14:textId="070F9415"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The Company continues to make good progress on the </w:t>
      </w:r>
      <w:r w:rsidR="00E72CBE">
        <w:rPr>
          <w:rFonts w:ascii="Calibri Light" w:eastAsia="Times New Roman" w:hAnsi="Calibri Light" w:cs="Calibri Light"/>
          <w:sz w:val="20"/>
          <w:szCs w:val="20"/>
        </w:rPr>
        <w:t xml:space="preserve">first </w:t>
      </w:r>
      <w:r>
        <w:rPr>
          <w:rFonts w:ascii="Calibri Light" w:eastAsia="Times New Roman" w:hAnsi="Calibri Light" w:cs="Calibri Light"/>
          <w:sz w:val="20"/>
          <w:szCs w:val="20"/>
        </w:rPr>
        <w:t>Saipem contract</w:t>
      </w:r>
      <w:r w:rsidR="00C62B74">
        <w:rPr>
          <w:rFonts w:ascii="Calibri Light" w:eastAsia="Times New Roman" w:hAnsi="Calibri Light" w:cs="Calibri Light"/>
          <w:sz w:val="20"/>
          <w:szCs w:val="20"/>
        </w:rPr>
        <w:t xml:space="preserve"> which was awarded in April and commenced in the summer</w:t>
      </w:r>
      <w:r>
        <w:rPr>
          <w:rFonts w:ascii="Calibri Light" w:eastAsia="Times New Roman" w:hAnsi="Calibri Light" w:cs="Calibri Light"/>
          <w:sz w:val="20"/>
          <w:szCs w:val="20"/>
        </w:rPr>
        <w:t xml:space="preserve">. </w:t>
      </w:r>
      <w:r w:rsidR="0063144D">
        <w:rPr>
          <w:rFonts w:ascii="Calibri Light" w:hAnsi="Calibri Light" w:cs="Calibri Light"/>
          <w:color w:val="000000"/>
          <w:sz w:val="20"/>
          <w:szCs w:val="20"/>
          <w:shd w:val="clear" w:color="auto" w:fill="FFFFFF"/>
        </w:rPr>
        <w:t>The works for fabrication, consolidation and load-out of the eight WTG jacket foundations is principally being conducted at Harland and Wolff's recently acquired Methil site. </w:t>
      </w:r>
      <w:r w:rsidR="00CE1C78">
        <w:rPr>
          <w:rFonts w:ascii="Calibri Light" w:eastAsia="Times New Roman" w:hAnsi="Calibri Light" w:cs="Calibri Light"/>
          <w:sz w:val="20"/>
          <w:szCs w:val="20"/>
        </w:rPr>
        <w:t>The</w:t>
      </w:r>
      <w:r>
        <w:rPr>
          <w:rFonts w:ascii="Calibri Light" w:eastAsia="Times New Roman" w:hAnsi="Calibri Light" w:cs="Calibri Light"/>
          <w:sz w:val="20"/>
          <w:szCs w:val="20"/>
        </w:rPr>
        <w:t xml:space="preserve"> Methil facility is now geared up to escalate fabrication of the contracted eight jackets in Q4’21 and Q1’22</w:t>
      </w:r>
      <w:r w:rsidR="00270377">
        <w:rPr>
          <w:rFonts w:ascii="Calibri Light" w:eastAsia="Times New Roman" w:hAnsi="Calibri Light" w:cs="Calibri Light"/>
          <w:sz w:val="20"/>
          <w:szCs w:val="20"/>
        </w:rPr>
        <w:t>, with a view to completing this phase of the Project by April 2022</w:t>
      </w:r>
      <w:r>
        <w:rPr>
          <w:rFonts w:ascii="Calibri Light" w:eastAsia="Times New Roman" w:hAnsi="Calibri Light" w:cs="Calibri Light"/>
          <w:sz w:val="20"/>
          <w:szCs w:val="20"/>
        </w:rPr>
        <w:t>.  As announced previously, the Company is not taking any materials related risk; all the materials are supplied by the client</w:t>
      </w:r>
      <w:r w:rsidR="000D0ED3">
        <w:rPr>
          <w:rFonts w:ascii="Calibri Light" w:eastAsia="Times New Roman" w:hAnsi="Calibri Light" w:cs="Calibri Light"/>
          <w:sz w:val="20"/>
          <w:szCs w:val="20"/>
        </w:rPr>
        <w:t xml:space="preserve"> and</w:t>
      </w:r>
      <w:r>
        <w:rPr>
          <w:rFonts w:ascii="Calibri Light" w:eastAsia="Times New Roman" w:hAnsi="Calibri Light" w:cs="Calibri Light"/>
          <w:sz w:val="20"/>
          <w:szCs w:val="20"/>
        </w:rPr>
        <w:t>, therefore, the Company has no price and supply chain exposure especially with regard to the steel needed for this project</w:t>
      </w:r>
      <w:r w:rsidR="0018639D">
        <w:rPr>
          <w:rFonts w:ascii="Calibri Light" w:eastAsia="Times New Roman" w:hAnsi="Calibri Light" w:cs="Calibri Light"/>
          <w:sz w:val="20"/>
          <w:szCs w:val="20"/>
        </w:rPr>
        <w:t xml:space="preserve"> given the recent</w:t>
      </w:r>
      <w:r w:rsidR="001C206E">
        <w:rPr>
          <w:rFonts w:ascii="Calibri Light" w:eastAsia="Times New Roman" w:hAnsi="Calibri Light" w:cs="Calibri Light"/>
          <w:sz w:val="20"/>
          <w:szCs w:val="20"/>
        </w:rPr>
        <w:t xml:space="preserve"> steep</w:t>
      </w:r>
      <w:r w:rsidR="0018639D">
        <w:rPr>
          <w:rFonts w:ascii="Calibri Light" w:eastAsia="Times New Roman" w:hAnsi="Calibri Light" w:cs="Calibri Light"/>
          <w:sz w:val="20"/>
          <w:szCs w:val="20"/>
        </w:rPr>
        <w:t xml:space="preserve"> increase in steel prices</w:t>
      </w:r>
      <w:r>
        <w:rPr>
          <w:rFonts w:ascii="Calibri Light" w:eastAsia="Times New Roman" w:hAnsi="Calibri Light" w:cs="Calibri Light"/>
          <w:sz w:val="20"/>
          <w:szCs w:val="20"/>
        </w:rPr>
        <w:t xml:space="preserve">. </w:t>
      </w:r>
    </w:p>
    <w:p w14:paraId="7585A013" w14:textId="77777777" w:rsidR="000A3A3C" w:rsidRDefault="000A3A3C" w:rsidP="000A3A3C">
      <w:pPr>
        <w:jc w:val="both"/>
        <w:rPr>
          <w:rFonts w:ascii="Calibri Light" w:eastAsia="Times New Roman" w:hAnsi="Calibri Light" w:cs="Calibri Light"/>
          <w:sz w:val="20"/>
          <w:szCs w:val="20"/>
        </w:rPr>
      </w:pPr>
    </w:p>
    <w:p w14:paraId="225ADDAF" w14:textId="7BB09981"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The renewables sector is</w:t>
      </w:r>
      <w:r w:rsidR="00BF5379">
        <w:rPr>
          <w:rFonts w:ascii="Calibri Light" w:eastAsia="Times New Roman" w:hAnsi="Calibri Light" w:cs="Calibri Light"/>
          <w:sz w:val="20"/>
          <w:szCs w:val="20"/>
        </w:rPr>
        <w:t xml:space="preserve"> growing quickly</w:t>
      </w:r>
      <w:r>
        <w:rPr>
          <w:rFonts w:ascii="Calibri Light" w:eastAsia="Times New Roman" w:hAnsi="Calibri Light" w:cs="Calibri Light"/>
          <w:sz w:val="20"/>
          <w:szCs w:val="20"/>
        </w:rPr>
        <w:t>. The Company is involved in several negotiations with clients who are looking at booking fabrication capacity across all the Company’s yards. The contracts being negotiated are complex and multi-year</w:t>
      </w:r>
      <w:r w:rsidR="000D0ED3">
        <w:rPr>
          <w:rFonts w:ascii="Calibri Light" w:eastAsia="Times New Roman" w:hAnsi="Calibri Light" w:cs="Calibri Light"/>
          <w:sz w:val="20"/>
          <w:szCs w:val="20"/>
        </w:rPr>
        <w:t>,</w:t>
      </w:r>
      <w:r>
        <w:rPr>
          <w:rFonts w:ascii="Calibri Light" w:eastAsia="Times New Roman" w:hAnsi="Calibri Light" w:cs="Calibri Light"/>
          <w:sz w:val="20"/>
          <w:szCs w:val="20"/>
        </w:rPr>
        <w:t xml:space="preserve"> with values ranging from </w:t>
      </w:r>
      <w:r w:rsidR="00B851E3">
        <w:rPr>
          <w:rFonts w:ascii="Calibri Light" w:eastAsia="Times New Roman" w:hAnsi="Calibri Light" w:cs="Calibri Light"/>
          <w:sz w:val="20"/>
          <w:szCs w:val="20"/>
        </w:rPr>
        <w:t xml:space="preserve">approximately </w:t>
      </w:r>
      <w:r>
        <w:rPr>
          <w:rFonts w:ascii="Calibri Light" w:eastAsia="Times New Roman" w:hAnsi="Calibri Light" w:cs="Calibri Light"/>
          <w:sz w:val="20"/>
          <w:szCs w:val="20"/>
        </w:rPr>
        <w:t>£</w:t>
      </w:r>
      <w:r w:rsidR="007178FE">
        <w:rPr>
          <w:rFonts w:ascii="Calibri Light" w:eastAsia="Times New Roman" w:hAnsi="Calibri Light" w:cs="Calibri Light"/>
          <w:sz w:val="20"/>
          <w:szCs w:val="20"/>
        </w:rPr>
        <w:t>30</w:t>
      </w:r>
      <w:r>
        <w:rPr>
          <w:rFonts w:ascii="Calibri Light" w:eastAsia="Times New Roman" w:hAnsi="Calibri Light" w:cs="Calibri Light"/>
          <w:sz w:val="20"/>
          <w:szCs w:val="20"/>
        </w:rPr>
        <w:t xml:space="preserve"> million to £200 million. Project developers have now become conscious of the lack of fabrication capacity across the UK and are making efforts to book capacity in order to meet their local content requirements. The Company expects this market to be a key growth market for the whole </w:t>
      </w:r>
      <w:r w:rsidR="002274B7">
        <w:rPr>
          <w:rFonts w:ascii="Calibri Light" w:eastAsia="Times New Roman" w:hAnsi="Calibri Light" w:cs="Calibri Light"/>
          <w:sz w:val="20"/>
          <w:szCs w:val="20"/>
        </w:rPr>
        <w:t>G</w:t>
      </w:r>
      <w:r>
        <w:rPr>
          <w:rFonts w:ascii="Calibri Light" w:eastAsia="Times New Roman" w:hAnsi="Calibri Light" w:cs="Calibri Light"/>
          <w:sz w:val="20"/>
          <w:szCs w:val="20"/>
        </w:rPr>
        <w:t>roup going into 2022 and beyond.</w:t>
      </w:r>
    </w:p>
    <w:p w14:paraId="12F741E4" w14:textId="77777777" w:rsidR="000A3A3C" w:rsidRDefault="000A3A3C" w:rsidP="000A3A3C">
      <w:pPr>
        <w:jc w:val="both"/>
        <w:rPr>
          <w:rFonts w:ascii="Calibri Light" w:eastAsia="Times New Roman" w:hAnsi="Calibri Light" w:cs="Calibri Light"/>
          <w:sz w:val="20"/>
          <w:szCs w:val="20"/>
        </w:rPr>
      </w:pPr>
    </w:p>
    <w:p w14:paraId="32A78DF6" w14:textId="6E622252"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lastRenderedPageBreak/>
        <w:t>The Company recently announced an MoU</w:t>
      </w:r>
      <w:r w:rsidR="004B767C">
        <w:rPr>
          <w:rFonts w:ascii="Calibri Light" w:eastAsia="Times New Roman" w:hAnsi="Calibri Light" w:cs="Calibri Light"/>
          <w:sz w:val="20"/>
          <w:szCs w:val="20"/>
        </w:rPr>
        <w:t xml:space="preserve"> (</w:t>
      </w:r>
      <w:r w:rsidR="002274B7">
        <w:rPr>
          <w:rFonts w:ascii="Calibri Light" w:eastAsia="Times New Roman" w:hAnsi="Calibri Light" w:cs="Calibri Light"/>
          <w:sz w:val="20"/>
          <w:szCs w:val="20"/>
        </w:rPr>
        <w:t>M</w:t>
      </w:r>
      <w:r w:rsidR="004B767C">
        <w:rPr>
          <w:rFonts w:ascii="Calibri Light" w:eastAsia="Times New Roman" w:hAnsi="Calibri Light" w:cs="Calibri Light"/>
          <w:sz w:val="20"/>
          <w:szCs w:val="20"/>
        </w:rPr>
        <w:t xml:space="preserve">emorandum of </w:t>
      </w:r>
      <w:r w:rsidR="002274B7">
        <w:rPr>
          <w:rFonts w:ascii="Calibri Light" w:eastAsia="Times New Roman" w:hAnsi="Calibri Light" w:cs="Calibri Light"/>
          <w:sz w:val="20"/>
          <w:szCs w:val="20"/>
        </w:rPr>
        <w:t>U</w:t>
      </w:r>
      <w:r w:rsidR="004B767C">
        <w:rPr>
          <w:rFonts w:ascii="Calibri Light" w:eastAsia="Times New Roman" w:hAnsi="Calibri Light" w:cs="Calibri Light"/>
          <w:sz w:val="20"/>
          <w:szCs w:val="20"/>
        </w:rPr>
        <w:t>nderstanding)</w:t>
      </w:r>
      <w:r>
        <w:rPr>
          <w:rFonts w:ascii="Calibri Light" w:eastAsia="Times New Roman" w:hAnsi="Calibri Light" w:cs="Calibri Light"/>
          <w:sz w:val="20"/>
          <w:szCs w:val="20"/>
        </w:rPr>
        <w:t xml:space="preserve"> between H&amp;W, </w:t>
      </w:r>
      <w:proofErr w:type="spellStart"/>
      <w:r>
        <w:rPr>
          <w:rFonts w:ascii="Calibri Light" w:eastAsia="Times New Roman" w:hAnsi="Calibri Light" w:cs="Calibri Light"/>
          <w:sz w:val="20"/>
          <w:szCs w:val="20"/>
        </w:rPr>
        <w:t>Navantia</w:t>
      </w:r>
      <w:proofErr w:type="spellEnd"/>
      <w:r>
        <w:rPr>
          <w:rFonts w:ascii="Calibri Light" w:eastAsia="Times New Roman" w:hAnsi="Calibri Light" w:cs="Calibri Light"/>
          <w:sz w:val="20"/>
          <w:szCs w:val="20"/>
        </w:rPr>
        <w:t xml:space="preserve"> and </w:t>
      </w:r>
      <w:proofErr w:type="spellStart"/>
      <w:r>
        <w:rPr>
          <w:rFonts w:ascii="Calibri Light" w:eastAsia="Times New Roman" w:hAnsi="Calibri Light" w:cs="Calibri Light"/>
          <w:sz w:val="20"/>
          <w:szCs w:val="20"/>
        </w:rPr>
        <w:t>Windar</w:t>
      </w:r>
      <w:proofErr w:type="spellEnd"/>
      <w:r>
        <w:rPr>
          <w:rFonts w:ascii="Calibri Light" w:eastAsia="Times New Roman" w:hAnsi="Calibri Light" w:cs="Calibri Light"/>
          <w:sz w:val="20"/>
          <w:szCs w:val="20"/>
        </w:rPr>
        <w:t>. This MoU</w:t>
      </w:r>
      <w:r w:rsidR="00FB0D26">
        <w:rPr>
          <w:rFonts w:ascii="Calibri Light" w:eastAsia="Times New Roman" w:hAnsi="Calibri Light" w:cs="Calibri Light"/>
          <w:sz w:val="20"/>
          <w:szCs w:val="20"/>
        </w:rPr>
        <w:t xml:space="preserve"> is expected to</w:t>
      </w:r>
      <w:r>
        <w:rPr>
          <w:rFonts w:ascii="Calibri Light" w:eastAsia="Times New Roman" w:hAnsi="Calibri Light" w:cs="Calibri Light"/>
          <w:sz w:val="20"/>
          <w:szCs w:val="20"/>
        </w:rPr>
        <w:t xml:space="preserve"> be converted into a formal joint venture shortly with the consortium bidding for large fixed and floating wind projects in the UK and Europe. </w:t>
      </w:r>
      <w:bookmarkStart w:id="0" w:name="_Hlk86403377"/>
      <w:r w:rsidR="00141CE1">
        <w:rPr>
          <w:rFonts w:ascii="Calibri Light" w:eastAsia="Times New Roman" w:hAnsi="Calibri Light" w:cs="Calibri Light"/>
          <w:sz w:val="20"/>
          <w:szCs w:val="20"/>
        </w:rPr>
        <w:t>Significant growth is expected in the floating wind turbine market,</w:t>
      </w:r>
      <w:bookmarkEnd w:id="0"/>
      <w:r w:rsidR="00141CE1">
        <w:rPr>
          <w:rFonts w:ascii="Calibri Light" w:eastAsia="Times New Roman" w:hAnsi="Calibri Light" w:cs="Calibri Light"/>
          <w:sz w:val="20"/>
          <w:szCs w:val="20"/>
        </w:rPr>
        <w:t xml:space="preserve"> which requires large scale fabrication capacity and much larger load out capacities in contrast to fixed wind structures. The consortium is well placed to bid</w:t>
      </w:r>
      <w:r w:rsidR="004329EE">
        <w:rPr>
          <w:rFonts w:ascii="Calibri Light" w:eastAsia="Times New Roman" w:hAnsi="Calibri Light" w:cs="Calibri Light"/>
          <w:sz w:val="20"/>
          <w:szCs w:val="20"/>
        </w:rPr>
        <w:t xml:space="preserve"> competitively</w:t>
      </w:r>
      <w:r w:rsidR="00141CE1">
        <w:rPr>
          <w:rFonts w:ascii="Calibri Light" w:eastAsia="Times New Roman" w:hAnsi="Calibri Light" w:cs="Calibri Light"/>
          <w:sz w:val="20"/>
          <w:szCs w:val="20"/>
        </w:rPr>
        <w:t xml:space="preserve"> for these large projects given the depth of experience that each partner carries and the fabrication </w:t>
      </w:r>
      <w:r w:rsidR="00210DBC">
        <w:rPr>
          <w:rFonts w:ascii="Calibri Light" w:eastAsia="Times New Roman" w:hAnsi="Calibri Light" w:cs="Calibri Light"/>
          <w:sz w:val="20"/>
          <w:szCs w:val="20"/>
        </w:rPr>
        <w:t>and</w:t>
      </w:r>
      <w:r w:rsidR="00141CE1">
        <w:rPr>
          <w:rFonts w:ascii="Calibri Light" w:eastAsia="Times New Roman" w:hAnsi="Calibri Light" w:cs="Calibri Light"/>
          <w:sz w:val="20"/>
          <w:szCs w:val="20"/>
        </w:rPr>
        <w:t xml:space="preserve"> loadout capacity that the H&amp;W group has across </w:t>
      </w:r>
      <w:r w:rsidR="00EC200E">
        <w:rPr>
          <w:rFonts w:ascii="Calibri Light" w:eastAsia="Times New Roman" w:hAnsi="Calibri Light" w:cs="Calibri Light"/>
          <w:sz w:val="20"/>
          <w:szCs w:val="20"/>
        </w:rPr>
        <w:t>four</w:t>
      </w:r>
      <w:r w:rsidR="00141CE1">
        <w:rPr>
          <w:rFonts w:ascii="Calibri Light" w:eastAsia="Times New Roman" w:hAnsi="Calibri Light" w:cs="Calibri Light"/>
          <w:sz w:val="20"/>
          <w:szCs w:val="20"/>
        </w:rPr>
        <w:t xml:space="preserve"> sites.     </w:t>
      </w:r>
    </w:p>
    <w:p w14:paraId="6C12F272" w14:textId="158E92CC" w:rsidR="007178FE" w:rsidRDefault="007178FE" w:rsidP="000A3A3C">
      <w:pPr>
        <w:jc w:val="both"/>
        <w:rPr>
          <w:rFonts w:ascii="Calibri Light" w:eastAsia="Times New Roman" w:hAnsi="Calibri Light" w:cs="Calibri Light"/>
          <w:sz w:val="20"/>
          <w:szCs w:val="20"/>
        </w:rPr>
      </w:pPr>
    </w:p>
    <w:p w14:paraId="19A26AB6" w14:textId="372E8DF1" w:rsidR="007178FE" w:rsidRPr="000A0652" w:rsidRDefault="007178FE" w:rsidP="000A3A3C">
      <w:pPr>
        <w:jc w:val="both"/>
        <w:rPr>
          <w:rFonts w:eastAsia="Times New Roman"/>
        </w:rPr>
      </w:pPr>
      <w:r>
        <w:rPr>
          <w:rFonts w:ascii="Calibri Light" w:eastAsia="Times New Roman" w:hAnsi="Calibri Light" w:cs="Calibri Light"/>
          <w:sz w:val="20"/>
          <w:szCs w:val="20"/>
        </w:rPr>
        <w:t xml:space="preserve">With </w:t>
      </w:r>
      <w:r w:rsidR="009F2E83">
        <w:rPr>
          <w:rFonts w:ascii="Calibri Light" w:eastAsia="Times New Roman" w:hAnsi="Calibri Light" w:cs="Calibri Light"/>
          <w:sz w:val="20"/>
          <w:szCs w:val="20"/>
        </w:rPr>
        <w:t>the inevitable</w:t>
      </w:r>
      <w:r>
        <w:rPr>
          <w:rFonts w:ascii="Calibri Light" w:eastAsia="Times New Roman" w:hAnsi="Calibri Light" w:cs="Calibri Light"/>
          <w:sz w:val="20"/>
          <w:szCs w:val="20"/>
        </w:rPr>
        <w:t xml:space="preserve"> move to </w:t>
      </w:r>
      <w:r w:rsidR="00714C55">
        <w:rPr>
          <w:rFonts w:ascii="Calibri Light" w:eastAsia="Times New Roman" w:hAnsi="Calibri Light" w:cs="Calibri Light"/>
          <w:sz w:val="20"/>
          <w:szCs w:val="20"/>
        </w:rPr>
        <w:t>f</w:t>
      </w:r>
      <w:r>
        <w:rPr>
          <w:rFonts w:ascii="Calibri Light" w:eastAsia="Times New Roman" w:hAnsi="Calibri Light" w:cs="Calibri Light"/>
          <w:sz w:val="20"/>
          <w:szCs w:val="20"/>
        </w:rPr>
        <w:t>loating wind</w:t>
      </w:r>
      <w:r w:rsidR="00BA2712">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Harland </w:t>
      </w:r>
      <w:r w:rsidR="00BA2712">
        <w:rPr>
          <w:rFonts w:ascii="Calibri Light" w:eastAsia="Times New Roman" w:hAnsi="Calibri Light" w:cs="Calibri Light"/>
          <w:sz w:val="20"/>
          <w:szCs w:val="20"/>
        </w:rPr>
        <w:t>&amp;</w:t>
      </w:r>
      <w:r>
        <w:rPr>
          <w:rFonts w:ascii="Calibri Light" w:eastAsia="Times New Roman" w:hAnsi="Calibri Light" w:cs="Calibri Light"/>
          <w:sz w:val="20"/>
          <w:szCs w:val="20"/>
        </w:rPr>
        <w:t xml:space="preserve"> Wolff has </w:t>
      </w:r>
      <w:r w:rsidR="00E247C9">
        <w:rPr>
          <w:rFonts w:ascii="Calibri Light" w:eastAsia="Times New Roman" w:hAnsi="Calibri Light" w:cs="Calibri Light"/>
          <w:sz w:val="20"/>
          <w:szCs w:val="20"/>
        </w:rPr>
        <w:t xml:space="preserve">dry docks and </w:t>
      </w:r>
      <w:r>
        <w:rPr>
          <w:rFonts w:ascii="Calibri Light" w:eastAsia="Times New Roman" w:hAnsi="Calibri Light" w:cs="Calibri Light"/>
          <w:sz w:val="20"/>
          <w:szCs w:val="20"/>
        </w:rPr>
        <w:t>quayside facilities that can fabricate</w:t>
      </w:r>
      <w:r w:rsidR="00864066">
        <w:rPr>
          <w:rFonts w:ascii="Calibri Light" w:eastAsia="Times New Roman" w:hAnsi="Calibri Light" w:cs="Calibri Light"/>
          <w:sz w:val="20"/>
          <w:szCs w:val="20"/>
        </w:rPr>
        <w:t xml:space="preserve"> and load-out respectively</w:t>
      </w:r>
      <w:r>
        <w:rPr>
          <w:rFonts w:ascii="Calibri Light" w:eastAsia="Times New Roman" w:hAnsi="Calibri Light" w:cs="Calibri Light"/>
          <w:sz w:val="20"/>
          <w:szCs w:val="20"/>
        </w:rPr>
        <w:t xml:space="preserve"> these structures </w:t>
      </w:r>
      <w:r w:rsidR="00BA2712">
        <w:rPr>
          <w:rFonts w:ascii="Calibri Light" w:eastAsia="Times New Roman" w:hAnsi="Calibri Light" w:cs="Calibri Light"/>
          <w:sz w:val="20"/>
          <w:szCs w:val="20"/>
        </w:rPr>
        <w:t xml:space="preserve">rapidly. </w:t>
      </w:r>
      <w:r w:rsidR="00F974B9">
        <w:rPr>
          <w:rFonts w:ascii="Calibri Light" w:eastAsia="Times New Roman" w:hAnsi="Calibri Light" w:cs="Calibri Light"/>
          <w:sz w:val="20"/>
          <w:szCs w:val="20"/>
        </w:rPr>
        <w:t xml:space="preserve">The fabrication </w:t>
      </w:r>
      <w:r>
        <w:rPr>
          <w:rFonts w:ascii="Calibri Light" w:eastAsia="Times New Roman" w:hAnsi="Calibri Light" w:cs="Calibri Light"/>
          <w:sz w:val="20"/>
          <w:szCs w:val="20"/>
        </w:rPr>
        <w:t xml:space="preserve">volume of these structures will be </w:t>
      </w:r>
      <w:r w:rsidR="00AE7FED">
        <w:rPr>
          <w:rFonts w:ascii="Calibri Light" w:eastAsia="Times New Roman" w:hAnsi="Calibri Light" w:cs="Calibri Light"/>
          <w:sz w:val="20"/>
          <w:szCs w:val="20"/>
        </w:rPr>
        <w:t>at a scale that the UK has not witnessed in the past</w:t>
      </w:r>
      <w:r>
        <w:rPr>
          <w:rFonts w:ascii="Calibri Light" w:eastAsia="Times New Roman" w:hAnsi="Calibri Light" w:cs="Calibri Light"/>
          <w:sz w:val="20"/>
          <w:szCs w:val="20"/>
        </w:rPr>
        <w:t xml:space="preserve">.  </w:t>
      </w:r>
      <w:r w:rsidR="00AE7FED">
        <w:rPr>
          <w:rFonts w:ascii="Calibri Light" w:eastAsia="Times New Roman" w:hAnsi="Calibri Light" w:cs="Calibri Light"/>
          <w:sz w:val="20"/>
          <w:szCs w:val="20"/>
        </w:rPr>
        <w:t xml:space="preserve">Further, </w:t>
      </w:r>
      <w:r>
        <w:rPr>
          <w:rFonts w:ascii="Calibri Light" w:eastAsia="Times New Roman" w:hAnsi="Calibri Light" w:cs="Calibri Light"/>
          <w:sz w:val="20"/>
          <w:szCs w:val="20"/>
        </w:rPr>
        <w:t xml:space="preserve">the </w:t>
      </w:r>
      <w:r w:rsidR="00913D47">
        <w:rPr>
          <w:rFonts w:ascii="Calibri Light" w:eastAsia="Times New Roman" w:hAnsi="Calibri Light" w:cs="Calibri Light"/>
          <w:sz w:val="20"/>
          <w:szCs w:val="20"/>
        </w:rPr>
        <w:t>growing importance of as much local content as possible</w:t>
      </w:r>
      <w:r w:rsidR="000D0ED3">
        <w:rPr>
          <w:rFonts w:ascii="Calibri Light" w:eastAsia="Times New Roman" w:hAnsi="Calibri Light" w:cs="Calibri Light"/>
          <w:sz w:val="20"/>
          <w:szCs w:val="20"/>
        </w:rPr>
        <w:t>,</w:t>
      </w:r>
      <w:r w:rsidR="00821C2D">
        <w:rPr>
          <w:rFonts w:ascii="Calibri Light" w:eastAsia="Times New Roman" w:hAnsi="Calibri Light" w:cs="Calibri Light"/>
          <w:sz w:val="20"/>
          <w:szCs w:val="20"/>
        </w:rPr>
        <w:t xml:space="preserve"> </w:t>
      </w:r>
      <w:r w:rsidR="00A56947">
        <w:rPr>
          <w:rFonts w:ascii="Calibri Light" w:eastAsia="Times New Roman" w:hAnsi="Calibri Light" w:cs="Calibri Light"/>
          <w:sz w:val="20"/>
          <w:szCs w:val="20"/>
        </w:rPr>
        <w:t xml:space="preserve">as well as </w:t>
      </w:r>
      <w:r w:rsidR="00821C2D">
        <w:rPr>
          <w:rFonts w:ascii="Calibri Light" w:eastAsia="Times New Roman" w:hAnsi="Calibri Light" w:cs="Calibri Light"/>
          <w:sz w:val="20"/>
          <w:szCs w:val="20"/>
        </w:rPr>
        <w:t xml:space="preserve">overseas yards reaching near-full capacity levels, </w:t>
      </w:r>
      <w:r w:rsidR="004129E7">
        <w:rPr>
          <w:rFonts w:ascii="Calibri Light" w:eastAsia="Times New Roman" w:hAnsi="Calibri Light" w:cs="Calibri Light"/>
          <w:sz w:val="20"/>
          <w:szCs w:val="20"/>
        </w:rPr>
        <w:t>bodes well for UK plc involved in large scale heavy engineering and fabrication</w:t>
      </w:r>
      <w:r>
        <w:rPr>
          <w:rFonts w:ascii="Calibri Light" w:eastAsia="Times New Roman" w:hAnsi="Calibri Light" w:cs="Calibri Light"/>
          <w:sz w:val="20"/>
          <w:szCs w:val="20"/>
        </w:rPr>
        <w:t>.</w:t>
      </w:r>
    </w:p>
    <w:p w14:paraId="60FDF0CE" w14:textId="77777777" w:rsidR="000A3A3C" w:rsidRPr="000A0652" w:rsidRDefault="000A3A3C" w:rsidP="000A3A3C">
      <w:pPr>
        <w:jc w:val="both"/>
        <w:rPr>
          <w:rFonts w:eastAsia="Times New Roman"/>
        </w:rPr>
      </w:pPr>
      <w:r w:rsidRPr="000A0652">
        <w:rPr>
          <w:rFonts w:ascii="Calibri Light" w:eastAsia="Times New Roman" w:hAnsi="Calibri Light" w:cs="Calibri Light"/>
          <w:sz w:val="20"/>
          <w:szCs w:val="20"/>
        </w:rPr>
        <w:t> </w:t>
      </w:r>
    </w:p>
    <w:p w14:paraId="2A4B969D" w14:textId="7FC5DB9B" w:rsidR="000A3A3C" w:rsidRPr="000A0652" w:rsidRDefault="000A3A3C" w:rsidP="000A3A3C">
      <w:pPr>
        <w:jc w:val="both"/>
        <w:rPr>
          <w:rFonts w:eastAsia="Times New Roman"/>
          <w:b/>
          <w:bCs/>
        </w:rPr>
      </w:pPr>
      <w:r w:rsidRPr="000A0652">
        <w:rPr>
          <w:rFonts w:ascii="Calibri Light" w:eastAsia="Times New Roman" w:hAnsi="Calibri Light" w:cs="Calibri Light"/>
          <w:sz w:val="20"/>
          <w:szCs w:val="20"/>
        </w:rPr>
        <w:t> </w:t>
      </w:r>
      <w:r w:rsidRPr="000A0652">
        <w:rPr>
          <w:rFonts w:ascii="Calibri Light" w:eastAsia="Times New Roman" w:hAnsi="Calibri Light" w:cs="Calibri Light"/>
          <w:b/>
          <w:bCs/>
          <w:sz w:val="20"/>
          <w:szCs w:val="20"/>
        </w:rPr>
        <w:t>Defence</w:t>
      </w:r>
    </w:p>
    <w:p w14:paraId="7A688B3E" w14:textId="10082A06" w:rsidR="00DE6EFD" w:rsidRPr="00DE6EFD" w:rsidRDefault="000A3A3C" w:rsidP="00DE6EFD">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The Company is currently building its defence pipeline of projects with a number of bids due to be evaluated and submitted over the course of Q4’21 and Q1’22. </w:t>
      </w:r>
      <w:r w:rsidR="001525CD">
        <w:rPr>
          <w:rFonts w:ascii="Calibri Light" w:eastAsia="Times New Roman" w:hAnsi="Calibri Light" w:cs="Calibri Light"/>
          <w:sz w:val="20"/>
          <w:szCs w:val="20"/>
        </w:rPr>
        <w:t>The</w:t>
      </w:r>
      <w:r>
        <w:rPr>
          <w:rFonts w:ascii="Calibri Light" w:eastAsia="Times New Roman" w:hAnsi="Calibri Light" w:cs="Calibri Light"/>
          <w:sz w:val="20"/>
          <w:szCs w:val="20"/>
        </w:rPr>
        <w:t xml:space="preserve"> Company is focussed on the FSS programme which is currently in the Commercial Procurement Phase (CPP) that will last for another </w:t>
      </w:r>
      <w:r w:rsidR="003E7C08">
        <w:rPr>
          <w:rFonts w:ascii="Calibri Light" w:eastAsia="Times New Roman" w:hAnsi="Calibri Light" w:cs="Calibri Light"/>
          <w:sz w:val="20"/>
          <w:szCs w:val="20"/>
        </w:rPr>
        <w:t>eight</w:t>
      </w:r>
      <w:r>
        <w:rPr>
          <w:rFonts w:ascii="Calibri Light" w:eastAsia="Times New Roman" w:hAnsi="Calibri Light" w:cs="Calibri Light"/>
          <w:sz w:val="20"/>
          <w:szCs w:val="20"/>
        </w:rPr>
        <w:t xml:space="preserve"> months. </w:t>
      </w:r>
      <w:r w:rsidR="000D0ED3">
        <w:rPr>
          <w:rFonts w:ascii="Calibri Light" w:eastAsia="Times New Roman" w:hAnsi="Calibri Light" w:cs="Calibri Light"/>
          <w:sz w:val="20"/>
          <w:szCs w:val="20"/>
        </w:rPr>
        <w:t>T</w:t>
      </w:r>
      <w:r>
        <w:rPr>
          <w:rFonts w:ascii="Calibri Light" w:eastAsia="Times New Roman" w:hAnsi="Calibri Light" w:cs="Calibri Light"/>
          <w:sz w:val="20"/>
          <w:szCs w:val="20"/>
        </w:rPr>
        <w:t xml:space="preserve">he Company is actively engaged with the Ministry of Defence (MoD) on </w:t>
      </w:r>
      <w:r w:rsidR="00382117">
        <w:rPr>
          <w:rFonts w:ascii="Calibri Light" w:eastAsia="Times New Roman" w:hAnsi="Calibri Light" w:cs="Calibri Light"/>
          <w:sz w:val="20"/>
          <w:szCs w:val="20"/>
        </w:rPr>
        <w:t xml:space="preserve">a number of </w:t>
      </w:r>
      <w:r w:rsidR="00437148">
        <w:rPr>
          <w:rFonts w:ascii="Calibri Light" w:eastAsia="Times New Roman" w:hAnsi="Calibri Light" w:cs="Calibri Light"/>
          <w:sz w:val="20"/>
          <w:szCs w:val="20"/>
        </w:rPr>
        <w:t>programmes</w:t>
      </w:r>
      <w:r w:rsidR="00F914DA">
        <w:rPr>
          <w:rFonts w:ascii="Calibri Light" w:eastAsia="Times New Roman" w:hAnsi="Calibri Light" w:cs="Calibri Light"/>
          <w:sz w:val="20"/>
          <w:szCs w:val="20"/>
        </w:rPr>
        <w:t xml:space="preserve"> on a standalone basis as well as </w:t>
      </w:r>
      <w:r w:rsidR="00437148">
        <w:rPr>
          <w:rFonts w:ascii="Calibri Light" w:eastAsia="Times New Roman" w:hAnsi="Calibri Light" w:cs="Calibri Light"/>
          <w:sz w:val="20"/>
          <w:szCs w:val="20"/>
        </w:rPr>
        <w:t xml:space="preserve">with the Company’s joint venture partner, </w:t>
      </w:r>
      <w:proofErr w:type="spellStart"/>
      <w:r w:rsidR="00437148">
        <w:rPr>
          <w:rFonts w:ascii="Calibri Light" w:eastAsia="Times New Roman" w:hAnsi="Calibri Light" w:cs="Calibri Light"/>
          <w:sz w:val="20"/>
          <w:szCs w:val="20"/>
        </w:rPr>
        <w:t>Navantia</w:t>
      </w:r>
      <w:proofErr w:type="spellEnd"/>
      <w:r w:rsidR="000D0ED3">
        <w:rPr>
          <w:rFonts w:ascii="Calibri Light" w:eastAsia="Times New Roman" w:hAnsi="Calibri Light" w:cs="Calibri Light"/>
          <w:sz w:val="20"/>
          <w:szCs w:val="20"/>
        </w:rPr>
        <w:t>,</w:t>
      </w:r>
      <w:r w:rsidR="00502F1F">
        <w:rPr>
          <w:rFonts w:ascii="Calibri Light" w:eastAsia="Times New Roman" w:hAnsi="Calibri Light" w:cs="Calibri Light"/>
          <w:sz w:val="20"/>
          <w:szCs w:val="20"/>
        </w:rPr>
        <w:t xml:space="preserve"> on certain projects</w:t>
      </w:r>
      <w:r>
        <w:rPr>
          <w:rFonts w:ascii="Calibri Light" w:eastAsia="Times New Roman" w:hAnsi="Calibri Light" w:cs="Calibri Light"/>
          <w:sz w:val="20"/>
          <w:szCs w:val="20"/>
        </w:rPr>
        <w:t>.</w:t>
      </w:r>
      <w:r w:rsidR="00BA55F7">
        <w:rPr>
          <w:rFonts w:ascii="Calibri Light" w:eastAsia="Times New Roman" w:hAnsi="Calibri Light" w:cs="Calibri Light"/>
          <w:sz w:val="20"/>
          <w:szCs w:val="20"/>
        </w:rPr>
        <w:t xml:space="preserve"> </w:t>
      </w:r>
      <w:r w:rsidR="00DE6EFD" w:rsidRPr="008A2021">
        <w:rPr>
          <w:rFonts w:ascii="Calibri Light" w:hAnsi="Calibri Light" w:cs="Calibri Light"/>
          <w:color w:val="000000"/>
          <w:sz w:val="20"/>
          <w:szCs w:val="20"/>
          <w:shd w:val="clear" w:color="auto" w:fill="FFFFFF"/>
        </w:rPr>
        <w:t>It is the Company’s view that there remains a strong desire within Government to rejuvenate shipbuilding at a national level, particularly in defence. With the largest fabrication footprint in the UK, we continue to engage with Government at the most senior level.</w:t>
      </w:r>
    </w:p>
    <w:p w14:paraId="46FFA1E6" w14:textId="17B2BF17" w:rsidR="00191839" w:rsidRDefault="00191839" w:rsidP="000A3A3C">
      <w:pPr>
        <w:jc w:val="both"/>
        <w:rPr>
          <w:rFonts w:ascii="Calibri Light" w:eastAsia="Times New Roman" w:hAnsi="Calibri Light" w:cs="Calibri Light"/>
          <w:sz w:val="20"/>
          <w:szCs w:val="20"/>
        </w:rPr>
      </w:pPr>
    </w:p>
    <w:p w14:paraId="409B4234" w14:textId="77777777" w:rsidR="00191839" w:rsidRDefault="00191839" w:rsidP="000A3A3C">
      <w:pPr>
        <w:jc w:val="both"/>
        <w:rPr>
          <w:rFonts w:ascii="Calibri Light" w:eastAsia="Times New Roman" w:hAnsi="Calibri Light" w:cs="Calibri Light"/>
          <w:sz w:val="20"/>
          <w:szCs w:val="20"/>
        </w:rPr>
      </w:pPr>
    </w:p>
    <w:p w14:paraId="5D57C531" w14:textId="5E449620" w:rsidR="00774F91" w:rsidRDefault="00BA55F7"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The combined offering of H&amp;W’s physical capacity and capability</w:t>
      </w:r>
      <w:r w:rsidR="00AA427F">
        <w:rPr>
          <w:rFonts w:ascii="Calibri Light" w:eastAsia="Times New Roman" w:hAnsi="Calibri Light" w:cs="Calibri Light"/>
          <w:sz w:val="20"/>
          <w:szCs w:val="20"/>
        </w:rPr>
        <w:t xml:space="preserve"> as well as </w:t>
      </w:r>
      <w:proofErr w:type="spellStart"/>
      <w:r w:rsidR="00AA427F">
        <w:rPr>
          <w:rFonts w:ascii="Calibri Light" w:eastAsia="Times New Roman" w:hAnsi="Calibri Light" w:cs="Calibri Light"/>
          <w:sz w:val="20"/>
          <w:szCs w:val="20"/>
        </w:rPr>
        <w:t>Navantia’s</w:t>
      </w:r>
      <w:proofErr w:type="spellEnd"/>
      <w:r w:rsidR="00AA427F">
        <w:rPr>
          <w:rFonts w:ascii="Calibri Light" w:eastAsia="Times New Roman" w:hAnsi="Calibri Light" w:cs="Calibri Light"/>
          <w:sz w:val="20"/>
          <w:szCs w:val="20"/>
        </w:rPr>
        <w:t xml:space="preserve"> deep expertise within defence </w:t>
      </w:r>
      <w:r w:rsidR="00FB1100">
        <w:rPr>
          <w:rFonts w:ascii="Calibri Light" w:eastAsia="Times New Roman" w:hAnsi="Calibri Light" w:cs="Calibri Light"/>
          <w:sz w:val="20"/>
          <w:szCs w:val="20"/>
        </w:rPr>
        <w:t xml:space="preserve">related </w:t>
      </w:r>
      <w:proofErr w:type="gramStart"/>
      <w:r w:rsidR="00FB1100">
        <w:rPr>
          <w:rFonts w:ascii="Calibri Light" w:eastAsia="Times New Roman" w:hAnsi="Calibri Light" w:cs="Calibri Light"/>
          <w:sz w:val="20"/>
          <w:szCs w:val="20"/>
        </w:rPr>
        <w:t>ship-building</w:t>
      </w:r>
      <w:proofErr w:type="gramEnd"/>
      <w:r w:rsidR="00FB1100">
        <w:rPr>
          <w:rFonts w:ascii="Calibri Light" w:eastAsia="Times New Roman" w:hAnsi="Calibri Light" w:cs="Calibri Light"/>
          <w:sz w:val="20"/>
          <w:szCs w:val="20"/>
        </w:rPr>
        <w:t xml:space="preserve"> has been very warmly welcomed by the MoD, as they seek to </w:t>
      </w:r>
      <w:r w:rsidR="00B264DB">
        <w:rPr>
          <w:rFonts w:ascii="Calibri Light" w:eastAsia="Times New Roman" w:hAnsi="Calibri Light" w:cs="Calibri Light"/>
          <w:sz w:val="20"/>
          <w:szCs w:val="20"/>
        </w:rPr>
        <w:t xml:space="preserve">encourage new entrants into this market </w:t>
      </w:r>
      <w:r w:rsidR="00F41256">
        <w:rPr>
          <w:rFonts w:ascii="Calibri Light" w:eastAsia="Times New Roman" w:hAnsi="Calibri Light" w:cs="Calibri Light"/>
          <w:sz w:val="20"/>
          <w:szCs w:val="20"/>
        </w:rPr>
        <w:t xml:space="preserve">in order </w:t>
      </w:r>
      <w:r w:rsidR="00B264DB">
        <w:rPr>
          <w:rFonts w:ascii="Calibri Light" w:eastAsia="Times New Roman" w:hAnsi="Calibri Light" w:cs="Calibri Light"/>
          <w:sz w:val="20"/>
          <w:szCs w:val="20"/>
        </w:rPr>
        <w:t>to</w:t>
      </w:r>
      <w:r w:rsidR="00191839">
        <w:rPr>
          <w:rFonts w:ascii="Calibri Light" w:eastAsia="Times New Roman" w:hAnsi="Calibri Light" w:cs="Calibri Light"/>
          <w:sz w:val="20"/>
          <w:szCs w:val="20"/>
        </w:rPr>
        <w:t xml:space="preserve"> provide greater competition </w:t>
      </w:r>
      <w:r w:rsidR="00F41256">
        <w:rPr>
          <w:rFonts w:ascii="Calibri Light" w:eastAsia="Times New Roman" w:hAnsi="Calibri Light" w:cs="Calibri Light"/>
          <w:sz w:val="20"/>
          <w:szCs w:val="20"/>
        </w:rPr>
        <w:t xml:space="preserve">and enable </w:t>
      </w:r>
      <w:r w:rsidR="00191839">
        <w:rPr>
          <w:rFonts w:ascii="Calibri Light" w:eastAsia="Times New Roman" w:hAnsi="Calibri Light" w:cs="Calibri Light"/>
          <w:sz w:val="20"/>
          <w:szCs w:val="20"/>
        </w:rPr>
        <w:t xml:space="preserve">value for money for </w:t>
      </w:r>
      <w:r w:rsidR="00F36038">
        <w:rPr>
          <w:rFonts w:ascii="Calibri Light" w:eastAsia="Times New Roman" w:hAnsi="Calibri Light" w:cs="Calibri Light"/>
          <w:sz w:val="20"/>
          <w:szCs w:val="20"/>
        </w:rPr>
        <w:t xml:space="preserve">the </w:t>
      </w:r>
      <w:r w:rsidR="00191839">
        <w:rPr>
          <w:rFonts w:ascii="Calibri Light" w:eastAsia="Times New Roman" w:hAnsi="Calibri Light" w:cs="Calibri Light"/>
          <w:sz w:val="20"/>
          <w:szCs w:val="20"/>
        </w:rPr>
        <w:t xml:space="preserve">UK </w:t>
      </w:r>
      <w:r w:rsidR="00F41256">
        <w:rPr>
          <w:rFonts w:ascii="Calibri Light" w:eastAsia="Times New Roman" w:hAnsi="Calibri Light" w:cs="Calibri Light"/>
          <w:sz w:val="20"/>
          <w:szCs w:val="20"/>
        </w:rPr>
        <w:t>taxpayer</w:t>
      </w:r>
      <w:r w:rsidR="00C50170">
        <w:rPr>
          <w:rFonts w:ascii="Calibri Light" w:eastAsia="Times New Roman" w:hAnsi="Calibri Light" w:cs="Calibri Light"/>
          <w:sz w:val="20"/>
          <w:szCs w:val="20"/>
        </w:rPr>
        <w:t xml:space="preserve">. As widely </w:t>
      </w:r>
      <w:r w:rsidR="00BD3784">
        <w:rPr>
          <w:rFonts w:ascii="Calibri Light" w:eastAsia="Times New Roman" w:hAnsi="Calibri Light" w:cs="Calibri Light"/>
          <w:sz w:val="20"/>
          <w:szCs w:val="20"/>
        </w:rPr>
        <w:t>reported, the HMS Quorn</w:t>
      </w:r>
      <w:r w:rsidR="000744C2">
        <w:rPr>
          <w:rFonts w:ascii="Calibri Light" w:eastAsia="Times New Roman" w:hAnsi="Calibri Light" w:cs="Calibri Light"/>
          <w:sz w:val="20"/>
          <w:szCs w:val="20"/>
        </w:rPr>
        <w:t xml:space="preserve"> (M55 Minehunter)</w:t>
      </w:r>
      <w:r w:rsidR="00BD3784">
        <w:rPr>
          <w:rFonts w:ascii="Calibri Light" w:eastAsia="Times New Roman" w:hAnsi="Calibri Light" w:cs="Calibri Light"/>
          <w:sz w:val="20"/>
          <w:szCs w:val="20"/>
        </w:rPr>
        <w:t xml:space="preserve"> is curren</w:t>
      </w:r>
      <w:r w:rsidR="000744C2">
        <w:rPr>
          <w:rFonts w:ascii="Calibri Light" w:eastAsia="Times New Roman" w:hAnsi="Calibri Light" w:cs="Calibri Light"/>
          <w:sz w:val="20"/>
          <w:szCs w:val="20"/>
        </w:rPr>
        <w:t xml:space="preserve">tly in a competitive tendering process </w:t>
      </w:r>
      <w:r w:rsidR="00AB669D">
        <w:rPr>
          <w:rFonts w:ascii="Calibri Light" w:eastAsia="Times New Roman" w:hAnsi="Calibri Light" w:cs="Calibri Light"/>
          <w:sz w:val="20"/>
          <w:szCs w:val="20"/>
        </w:rPr>
        <w:t>for a</w:t>
      </w:r>
      <w:r w:rsidR="00191839">
        <w:rPr>
          <w:rFonts w:ascii="Calibri Light" w:eastAsia="Times New Roman" w:hAnsi="Calibri Light" w:cs="Calibri Light"/>
          <w:sz w:val="20"/>
          <w:szCs w:val="20"/>
        </w:rPr>
        <w:t xml:space="preserve"> mid</w:t>
      </w:r>
      <w:r w:rsidR="00311353">
        <w:rPr>
          <w:rFonts w:ascii="Calibri Light" w:eastAsia="Times New Roman" w:hAnsi="Calibri Light" w:cs="Calibri Light"/>
          <w:sz w:val="20"/>
          <w:szCs w:val="20"/>
        </w:rPr>
        <w:t>-</w:t>
      </w:r>
      <w:r w:rsidR="00191839">
        <w:rPr>
          <w:rFonts w:ascii="Calibri Light" w:eastAsia="Times New Roman" w:hAnsi="Calibri Light" w:cs="Calibri Light"/>
          <w:sz w:val="20"/>
          <w:szCs w:val="20"/>
        </w:rPr>
        <w:t>life upgrade</w:t>
      </w:r>
      <w:r w:rsidR="006D1E08">
        <w:rPr>
          <w:rFonts w:ascii="Calibri Light" w:eastAsia="Times New Roman" w:hAnsi="Calibri Light" w:cs="Calibri Light"/>
          <w:sz w:val="20"/>
          <w:szCs w:val="20"/>
        </w:rPr>
        <w:t>, and the H</w:t>
      </w:r>
      <w:r w:rsidR="00AB669D">
        <w:rPr>
          <w:rFonts w:ascii="Calibri Light" w:eastAsia="Times New Roman" w:hAnsi="Calibri Light" w:cs="Calibri Light"/>
          <w:sz w:val="20"/>
          <w:szCs w:val="20"/>
        </w:rPr>
        <w:t>arland &amp; Wolff-</w:t>
      </w:r>
      <w:proofErr w:type="spellStart"/>
      <w:r w:rsidR="00AB669D">
        <w:rPr>
          <w:rFonts w:ascii="Calibri Light" w:eastAsia="Times New Roman" w:hAnsi="Calibri Light" w:cs="Calibri Light"/>
          <w:sz w:val="20"/>
          <w:szCs w:val="20"/>
        </w:rPr>
        <w:t>Navantia</w:t>
      </w:r>
      <w:proofErr w:type="spellEnd"/>
      <w:r w:rsidR="00AB669D">
        <w:rPr>
          <w:rFonts w:ascii="Calibri Light" w:eastAsia="Times New Roman" w:hAnsi="Calibri Light" w:cs="Calibri Light"/>
          <w:sz w:val="20"/>
          <w:szCs w:val="20"/>
        </w:rPr>
        <w:t xml:space="preserve"> consortium </w:t>
      </w:r>
      <w:r w:rsidR="00311353">
        <w:rPr>
          <w:rFonts w:ascii="Calibri Light" w:eastAsia="Times New Roman" w:hAnsi="Calibri Light" w:cs="Calibri Light"/>
          <w:sz w:val="20"/>
          <w:szCs w:val="20"/>
        </w:rPr>
        <w:t>is</w:t>
      </w:r>
      <w:r w:rsidR="00875005">
        <w:rPr>
          <w:rFonts w:ascii="Calibri Light" w:eastAsia="Times New Roman" w:hAnsi="Calibri Light" w:cs="Calibri Light"/>
          <w:sz w:val="20"/>
          <w:szCs w:val="20"/>
        </w:rPr>
        <w:t xml:space="preserve"> bidding to win this contract</w:t>
      </w:r>
      <w:r w:rsidR="00191839">
        <w:rPr>
          <w:rFonts w:ascii="Calibri Light" w:eastAsia="Times New Roman" w:hAnsi="Calibri Light" w:cs="Calibri Light"/>
          <w:sz w:val="20"/>
          <w:szCs w:val="20"/>
        </w:rPr>
        <w:t xml:space="preserve"> with the outcome expected in Q1 2022</w:t>
      </w:r>
      <w:r w:rsidR="00875005">
        <w:rPr>
          <w:rFonts w:ascii="Calibri Light" w:eastAsia="Times New Roman" w:hAnsi="Calibri Light" w:cs="Calibri Light"/>
          <w:sz w:val="20"/>
          <w:szCs w:val="20"/>
        </w:rPr>
        <w:t xml:space="preserve">. </w:t>
      </w:r>
      <w:r w:rsidR="000A3A3C">
        <w:rPr>
          <w:rFonts w:ascii="Calibri Light" w:eastAsia="Times New Roman" w:hAnsi="Calibri Light" w:cs="Calibri Light"/>
          <w:sz w:val="20"/>
          <w:szCs w:val="20"/>
        </w:rPr>
        <w:t>The Company has also submitted its bid to welcome the Queen Elizabeth Class Carriers (QEC)</w:t>
      </w:r>
      <w:r w:rsidR="00191839">
        <w:rPr>
          <w:rFonts w:ascii="Calibri Light" w:eastAsia="Times New Roman" w:hAnsi="Calibri Light" w:cs="Calibri Light"/>
          <w:sz w:val="20"/>
          <w:szCs w:val="20"/>
        </w:rPr>
        <w:t xml:space="preserve"> to our Belfast </w:t>
      </w:r>
      <w:r w:rsidR="00DD6AEB">
        <w:rPr>
          <w:rFonts w:ascii="Calibri Light" w:eastAsia="Times New Roman" w:hAnsi="Calibri Light" w:cs="Calibri Light"/>
          <w:sz w:val="20"/>
          <w:szCs w:val="20"/>
        </w:rPr>
        <w:t xml:space="preserve">facility. </w:t>
      </w:r>
      <w:r w:rsidR="00433793">
        <w:rPr>
          <w:rFonts w:ascii="Calibri Light" w:eastAsia="Times New Roman" w:hAnsi="Calibri Light" w:cs="Calibri Light"/>
          <w:sz w:val="20"/>
          <w:szCs w:val="20"/>
        </w:rPr>
        <w:t>This contract will be</w:t>
      </w:r>
      <w:r w:rsidR="000A3A3C">
        <w:rPr>
          <w:rFonts w:ascii="Calibri Light" w:eastAsia="Times New Roman" w:hAnsi="Calibri Light" w:cs="Calibri Light"/>
          <w:sz w:val="20"/>
          <w:szCs w:val="20"/>
        </w:rPr>
        <w:t xml:space="preserve"> over a 10-year period commencing 2023. The Company believes that it is in a </w:t>
      </w:r>
      <w:r w:rsidR="00774F91">
        <w:rPr>
          <w:rFonts w:ascii="Calibri Light" w:eastAsia="Times New Roman" w:hAnsi="Calibri Light" w:cs="Calibri Light"/>
          <w:sz w:val="20"/>
          <w:szCs w:val="20"/>
        </w:rPr>
        <w:t>good</w:t>
      </w:r>
      <w:r w:rsidR="000A3A3C">
        <w:rPr>
          <w:rFonts w:ascii="Calibri Light" w:eastAsia="Times New Roman" w:hAnsi="Calibri Light" w:cs="Calibri Light"/>
          <w:sz w:val="20"/>
          <w:szCs w:val="20"/>
        </w:rPr>
        <w:t xml:space="preserve"> position given its dock size, </w:t>
      </w:r>
      <w:proofErr w:type="gramStart"/>
      <w:r w:rsidR="000A3A3C">
        <w:rPr>
          <w:rFonts w:ascii="Calibri Light" w:eastAsia="Times New Roman" w:hAnsi="Calibri Light" w:cs="Calibri Light"/>
          <w:sz w:val="20"/>
          <w:szCs w:val="20"/>
        </w:rPr>
        <w:t>capacity</w:t>
      </w:r>
      <w:proofErr w:type="gramEnd"/>
      <w:r w:rsidR="000A3A3C">
        <w:rPr>
          <w:rFonts w:ascii="Calibri Light" w:eastAsia="Times New Roman" w:hAnsi="Calibri Light" w:cs="Calibri Light"/>
          <w:sz w:val="20"/>
          <w:szCs w:val="20"/>
        </w:rPr>
        <w:t xml:space="preserve"> and capabilities to service these </w:t>
      </w:r>
      <w:r w:rsidR="00191839">
        <w:rPr>
          <w:rFonts w:ascii="Calibri Light" w:eastAsia="Times New Roman" w:hAnsi="Calibri Light" w:cs="Calibri Light"/>
          <w:sz w:val="20"/>
          <w:szCs w:val="20"/>
        </w:rPr>
        <w:t>vessels</w:t>
      </w:r>
      <w:r w:rsidR="000A3A3C">
        <w:rPr>
          <w:rFonts w:ascii="Calibri Light" w:eastAsia="Times New Roman" w:hAnsi="Calibri Light" w:cs="Calibri Light"/>
          <w:sz w:val="20"/>
          <w:szCs w:val="20"/>
        </w:rPr>
        <w:t>.</w:t>
      </w:r>
      <w:r w:rsidR="00553E1D">
        <w:rPr>
          <w:rFonts w:ascii="Calibri Light" w:eastAsia="Times New Roman" w:hAnsi="Calibri Light" w:cs="Calibri Light"/>
          <w:sz w:val="20"/>
          <w:szCs w:val="20"/>
        </w:rPr>
        <w:t xml:space="preserve"> </w:t>
      </w:r>
      <w:r w:rsidR="00C55EF7">
        <w:rPr>
          <w:rFonts w:ascii="Calibri Light" w:eastAsia="Times New Roman" w:hAnsi="Calibri Light" w:cs="Calibri Light"/>
          <w:sz w:val="20"/>
          <w:szCs w:val="20"/>
        </w:rPr>
        <w:t xml:space="preserve">Harland &amp; Wolff </w:t>
      </w:r>
      <w:r w:rsidR="00671FD2">
        <w:rPr>
          <w:rFonts w:ascii="Calibri Light" w:eastAsia="Times New Roman" w:hAnsi="Calibri Light" w:cs="Calibri Light"/>
          <w:sz w:val="20"/>
          <w:szCs w:val="20"/>
        </w:rPr>
        <w:t>(Belfast)</w:t>
      </w:r>
      <w:r w:rsidR="000D0ED3">
        <w:rPr>
          <w:rFonts w:ascii="Calibri Light" w:eastAsia="Times New Roman" w:hAnsi="Calibri Light" w:cs="Calibri Light"/>
          <w:sz w:val="20"/>
          <w:szCs w:val="20"/>
        </w:rPr>
        <w:t xml:space="preserve"> </w:t>
      </w:r>
      <w:r w:rsidR="00C55EF7">
        <w:rPr>
          <w:rFonts w:ascii="Calibri Light" w:eastAsia="Times New Roman" w:hAnsi="Calibri Light" w:cs="Calibri Light"/>
          <w:sz w:val="20"/>
          <w:szCs w:val="20"/>
        </w:rPr>
        <w:t xml:space="preserve">is </w:t>
      </w:r>
      <w:r w:rsidR="00191839">
        <w:rPr>
          <w:rFonts w:ascii="Calibri Light" w:eastAsia="Times New Roman" w:hAnsi="Calibri Light" w:cs="Calibri Light"/>
          <w:sz w:val="20"/>
          <w:szCs w:val="20"/>
        </w:rPr>
        <w:t xml:space="preserve">the only facility in the UK that undertakes these types of refits </w:t>
      </w:r>
      <w:r w:rsidR="00774F91">
        <w:rPr>
          <w:rFonts w:ascii="Calibri Light" w:eastAsia="Times New Roman" w:hAnsi="Calibri Light" w:cs="Calibri Light"/>
          <w:sz w:val="20"/>
          <w:szCs w:val="20"/>
        </w:rPr>
        <w:t>and maintenance</w:t>
      </w:r>
      <w:r w:rsidR="00303037">
        <w:rPr>
          <w:rFonts w:ascii="Calibri Light" w:eastAsia="Times New Roman" w:hAnsi="Calibri Light" w:cs="Calibri Light"/>
          <w:sz w:val="20"/>
          <w:szCs w:val="20"/>
        </w:rPr>
        <w:t xml:space="preserve"> on a daily basis for</w:t>
      </w:r>
      <w:r w:rsidR="00774F91">
        <w:rPr>
          <w:rFonts w:ascii="Calibri Light" w:eastAsia="Times New Roman" w:hAnsi="Calibri Light" w:cs="Calibri Light"/>
          <w:sz w:val="20"/>
          <w:szCs w:val="20"/>
        </w:rPr>
        <w:t xml:space="preserve"> </w:t>
      </w:r>
      <w:r w:rsidR="00191839">
        <w:rPr>
          <w:rFonts w:ascii="Calibri Light" w:eastAsia="Times New Roman" w:hAnsi="Calibri Light" w:cs="Calibri Light"/>
          <w:sz w:val="20"/>
          <w:szCs w:val="20"/>
        </w:rPr>
        <w:t>commercial vessels of this size</w:t>
      </w:r>
      <w:r w:rsidR="009F7E73">
        <w:rPr>
          <w:rFonts w:ascii="Calibri Light" w:eastAsia="Times New Roman" w:hAnsi="Calibri Light" w:cs="Calibri Light"/>
          <w:sz w:val="20"/>
          <w:szCs w:val="20"/>
        </w:rPr>
        <w:t xml:space="preserve">. The award for this contract is expected to be announced </w:t>
      </w:r>
      <w:r w:rsidR="000C2956">
        <w:rPr>
          <w:rFonts w:ascii="Calibri Light" w:eastAsia="Times New Roman" w:hAnsi="Calibri Light" w:cs="Calibri Light"/>
          <w:sz w:val="20"/>
          <w:szCs w:val="20"/>
        </w:rPr>
        <w:t xml:space="preserve">in the next few months with Harland &amp; Wolff and another competitor yard in the fray. </w:t>
      </w:r>
      <w:r w:rsidR="000A3A3C">
        <w:rPr>
          <w:rFonts w:ascii="Calibri Light" w:eastAsia="Times New Roman" w:hAnsi="Calibri Light" w:cs="Calibri Light"/>
          <w:sz w:val="20"/>
          <w:szCs w:val="20"/>
        </w:rPr>
        <w:t xml:space="preserve"> </w:t>
      </w:r>
    </w:p>
    <w:p w14:paraId="25462629" w14:textId="77777777" w:rsidR="00774F91" w:rsidRDefault="00774F91" w:rsidP="000A3A3C">
      <w:pPr>
        <w:jc w:val="both"/>
        <w:rPr>
          <w:rFonts w:ascii="Calibri Light" w:eastAsia="Times New Roman" w:hAnsi="Calibri Light" w:cs="Calibri Light"/>
          <w:sz w:val="20"/>
          <w:szCs w:val="20"/>
        </w:rPr>
      </w:pPr>
    </w:p>
    <w:p w14:paraId="30DDD642" w14:textId="376EC3CB"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The Company is actively involved in advanced negotiations with other prime contractors to pick up sub-contract work for ongoing defence programmes. The Company has successfully cleared technical, </w:t>
      </w:r>
      <w:proofErr w:type="gramStart"/>
      <w:r>
        <w:rPr>
          <w:rFonts w:ascii="Calibri Light" w:eastAsia="Times New Roman" w:hAnsi="Calibri Light" w:cs="Calibri Light"/>
          <w:sz w:val="20"/>
          <w:szCs w:val="20"/>
        </w:rPr>
        <w:t>physical</w:t>
      </w:r>
      <w:proofErr w:type="gramEnd"/>
      <w:r>
        <w:rPr>
          <w:rFonts w:ascii="Calibri Light" w:eastAsia="Times New Roman" w:hAnsi="Calibri Light" w:cs="Calibri Light"/>
          <w:sz w:val="20"/>
          <w:szCs w:val="20"/>
        </w:rPr>
        <w:t xml:space="preserve"> and commercial due diligence and is now in the process of negotiating scopes of works </w:t>
      </w:r>
      <w:r w:rsidR="00265C01">
        <w:rPr>
          <w:rFonts w:ascii="Calibri Light" w:eastAsia="Times New Roman" w:hAnsi="Calibri Light" w:cs="Calibri Light"/>
          <w:sz w:val="20"/>
          <w:szCs w:val="20"/>
        </w:rPr>
        <w:t xml:space="preserve">for </w:t>
      </w:r>
      <w:r>
        <w:rPr>
          <w:rFonts w:ascii="Calibri Light" w:eastAsia="Times New Roman" w:hAnsi="Calibri Light" w:cs="Calibri Light"/>
          <w:sz w:val="20"/>
          <w:szCs w:val="20"/>
        </w:rPr>
        <w:t xml:space="preserve">a series of sub-contracts, announcements of which will be made once these sub-contracts are formally executed.  </w:t>
      </w:r>
      <w:r w:rsidR="00F31614">
        <w:rPr>
          <w:rFonts w:ascii="Calibri Light" w:eastAsia="Times New Roman" w:hAnsi="Calibri Light" w:cs="Calibri Light"/>
          <w:sz w:val="20"/>
          <w:szCs w:val="20"/>
        </w:rPr>
        <w:t xml:space="preserve">The Company </w:t>
      </w:r>
      <w:r w:rsidR="00774F91">
        <w:rPr>
          <w:rFonts w:ascii="Calibri Light" w:eastAsia="Times New Roman" w:hAnsi="Calibri Light" w:cs="Calibri Light"/>
          <w:sz w:val="20"/>
          <w:szCs w:val="20"/>
        </w:rPr>
        <w:t>continue</w:t>
      </w:r>
      <w:r w:rsidR="00F31614">
        <w:rPr>
          <w:rFonts w:ascii="Calibri Light" w:eastAsia="Times New Roman" w:hAnsi="Calibri Light" w:cs="Calibri Light"/>
          <w:sz w:val="20"/>
          <w:szCs w:val="20"/>
        </w:rPr>
        <w:t>s</w:t>
      </w:r>
      <w:r w:rsidR="00774F91">
        <w:rPr>
          <w:rFonts w:ascii="Calibri Light" w:eastAsia="Times New Roman" w:hAnsi="Calibri Light" w:cs="Calibri Light"/>
          <w:sz w:val="20"/>
          <w:szCs w:val="20"/>
        </w:rPr>
        <w:t xml:space="preserve"> to develop </w:t>
      </w:r>
      <w:r w:rsidR="00F31614">
        <w:rPr>
          <w:rFonts w:ascii="Calibri Light" w:eastAsia="Times New Roman" w:hAnsi="Calibri Light" w:cs="Calibri Light"/>
          <w:sz w:val="20"/>
          <w:szCs w:val="20"/>
        </w:rPr>
        <w:t>its</w:t>
      </w:r>
      <w:r w:rsidR="00774F91">
        <w:rPr>
          <w:rFonts w:ascii="Calibri Light" w:eastAsia="Times New Roman" w:hAnsi="Calibri Light" w:cs="Calibri Light"/>
          <w:sz w:val="20"/>
          <w:szCs w:val="20"/>
        </w:rPr>
        <w:t xml:space="preserve"> </w:t>
      </w:r>
      <w:r w:rsidR="00265C01">
        <w:rPr>
          <w:rFonts w:ascii="Calibri Light" w:eastAsia="Times New Roman" w:hAnsi="Calibri Light" w:cs="Calibri Light"/>
          <w:sz w:val="20"/>
          <w:szCs w:val="20"/>
        </w:rPr>
        <w:t xml:space="preserve">operating </w:t>
      </w:r>
      <w:r w:rsidR="00774F91">
        <w:rPr>
          <w:rFonts w:ascii="Calibri Light" w:eastAsia="Times New Roman" w:hAnsi="Calibri Light" w:cs="Calibri Light"/>
          <w:sz w:val="20"/>
          <w:szCs w:val="20"/>
        </w:rPr>
        <w:t xml:space="preserve">model which focuses on the best delivery solution for </w:t>
      </w:r>
      <w:r w:rsidR="001C0C54">
        <w:rPr>
          <w:rFonts w:ascii="Calibri Light" w:eastAsia="Times New Roman" w:hAnsi="Calibri Light" w:cs="Calibri Light"/>
          <w:sz w:val="20"/>
          <w:szCs w:val="20"/>
        </w:rPr>
        <w:t xml:space="preserve">its </w:t>
      </w:r>
      <w:proofErr w:type="gramStart"/>
      <w:r w:rsidR="00774F91">
        <w:rPr>
          <w:rFonts w:ascii="Calibri Light" w:eastAsia="Times New Roman" w:hAnsi="Calibri Light" w:cs="Calibri Light"/>
          <w:sz w:val="20"/>
          <w:szCs w:val="20"/>
        </w:rPr>
        <w:t>clients</w:t>
      </w:r>
      <w:proofErr w:type="gramEnd"/>
      <w:r w:rsidR="00774F91">
        <w:rPr>
          <w:rFonts w:ascii="Calibri Light" w:eastAsia="Times New Roman" w:hAnsi="Calibri Light" w:cs="Calibri Light"/>
          <w:sz w:val="20"/>
          <w:szCs w:val="20"/>
        </w:rPr>
        <w:t xml:space="preserve"> </w:t>
      </w:r>
      <w:r w:rsidR="00D245A3">
        <w:rPr>
          <w:rFonts w:ascii="Calibri Light" w:eastAsia="Times New Roman" w:hAnsi="Calibri Light" w:cs="Calibri Light"/>
          <w:sz w:val="20"/>
          <w:szCs w:val="20"/>
        </w:rPr>
        <w:t xml:space="preserve">and </w:t>
      </w:r>
      <w:r w:rsidR="00774F91">
        <w:rPr>
          <w:rFonts w:ascii="Calibri Light" w:eastAsia="Times New Roman" w:hAnsi="Calibri Light" w:cs="Calibri Light"/>
          <w:sz w:val="20"/>
          <w:szCs w:val="20"/>
        </w:rPr>
        <w:t xml:space="preserve">which will </w:t>
      </w:r>
      <w:r w:rsidR="00460180">
        <w:rPr>
          <w:rFonts w:ascii="Calibri Light" w:eastAsia="Times New Roman" w:hAnsi="Calibri Light" w:cs="Calibri Light"/>
          <w:sz w:val="20"/>
          <w:szCs w:val="20"/>
        </w:rPr>
        <w:t>provide</w:t>
      </w:r>
      <w:r w:rsidR="00774F91">
        <w:rPr>
          <w:rFonts w:ascii="Calibri Light" w:eastAsia="Times New Roman" w:hAnsi="Calibri Light" w:cs="Calibri Light"/>
          <w:sz w:val="20"/>
          <w:szCs w:val="20"/>
        </w:rPr>
        <w:t xml:space="preserve"> the best probability of success</w:t>
      </w:r>
      <w:r w:rsidR="00D245A3">
        <w:rPr>
          <w:rFonts w:ascii="Calibri Light" w:eastAsia="Times New Roman" w:hAnsi="Calibri Light" w:cs="Calibri Light"/>
          <w:sz w:val="20"/>
          <w:szCs w:val="20"/>
        </w:rPr>
        <w:t xml:space="preserve">. This could either be </w:t>
      </w:r>
      <w:r w:rsidR="00774F91">
        <w:rPr>
          <w:rFonts w:ascii="Calibri Light" w:eastAsia="Times New Roman" w:hAnsi="Calibri Light" w:cs="Calibri Light"/>
          <w:sz w:val="20"/>
          <w:szCs w:val="20"/>
        </w:rPr>
        <w:t>establishing relationships with partners or acting</w:t>
      </w:r>
      <w:r w:rsidR="00D245A3">
        <w:rPr>
          <w:rFonts w:ascii="Calibri Light" w:eastAsia="Times New Roman" w:hAnsi="Calibri Light" w:cs="Calibri Light"/>
          <w:sz w:val="20"/>
          <w:szCs w:val="20"/>
        </w:rPr>
        <w:t xml:space="preserve">, </w:t>
      </w:r>
      <w:r w:rsidR="00460180">
        <w:rPr>
          <w:rFonts w:ascii="Calibri Light" w:eastAsia="Times New Roman" w:hAnsi="Calibri Light" w:cs="Calibri Light"/>
          <w:sz w:val="20"/>
          <w:szCs w:val="20"/>
        </w:rPr>
        <w:t>in its own right</w:t>
      </w:r>
      <w:r w:rsidR="00D245A3">
        <w:rPr>
          <w:rFonts w:ascii="Calibri Light" w:eastAsia="Times New Roman" w:hAnsi="Calibri Light" w:cs="Calibri Light"/>
          <w:sz w:val="20"/>
          <w:szCs w:val="20"/>
        </w:rPr>
        <w:t>,</w:t>
      </w:r>
      <w:r w:rsidR="00774F91">
        <w:rPr>
          <w:rFonts w:ascii="Calibri Light" w:eastAsia="Times New Roman" w:hAnsi="Calibri Light" w:cs="Calibri Light"/>
          <w:sz w:val="20"/>
          <w:szCs w:val="20"/>
        </w:rPr>
        <w:t xml:space="preserve"> as prime</w:t>
      </w:r>
      <w:r w:rsidR="00D245A3">
        <w:rPr>
          <w:rFonts w:ascii="Calibri Light" w:eastAsia="Times New Roman" w:hAnsi="Calibri Light" w:cs="Calibri Light"/>
          <w:sz w:val="20"/>
          <w:szCs w:val="20"/>
        </w:rPr>
        <w:t xml:space="preserve"> contractors</w:t>
      </w:r>
      <w:r w:rsidR="00774F91">
        <w:rPr>
          <w:rFonts w:ascii="Calibri Light" w:eastAsia="Times New Roman" w:hAnsi="Calibri Light" w:cs="Calibri Light"/>
          <w:sz w:val="20"/>
          <w:szCs w:val="20"/>
        </w:rPr>
        <w:t>.</w:t>
      </w:r>
      <w:r w:rsidR="00F31614">
        <w:rPr>
          <w:rFonts w:ascii="Calibri Light" w:eastAsia="Times New Roman" w:hAnsi="Calibri Light" w:cs="Calibri Light"/>
          <w:sz w:val="20"/>
          <w:szCs w:val="20"/>
        </w:rPr>
        <w:t xml:space="preserve"> The Compan</w:t>
      </w:r>
      <w:r w:rsidR="00460180">
        <w:rPr>
          <w:rFonts w:ascii="Calibri Light" w:eastAsia="Times New Roman" w:hAnsi="Calibri Light" w:cs="Calibri Light"/>
          <w:sz w:val="20"/>
          <w:szCs w:val="20"/>
        </w:rPr>
        <w:t xml:space="preserve">y </w:t>
      </w:r>
      <w:r w:rsidR="00A03254">
        <w:rPr>
          <w:rFonts w:ascii="Calibri Light" w:eastAsia="Times New Roman" w:hAnsi="Calibri Light" w:cs="Calibri Light"/>
          <w:sz w:val="20"/>
          <w:szCs w:val="20"/>
        </w:rPr>
        <w:t xml:space="preserve">is attracting significant interest in its defence related offering not only from inside the UK </w:t>
      </w:r>
      <w:r w:rsidR="00AC19AD">
        <w:rPr>
          <w:rFonts w:ascii="Calibri Light" w:eastAsia="Times New Roman" w:hAnsi="Calibri Light" w:cs="Calibri Light"/>
          <w:sz w:val="20"/>
          <w:szCs w:val="20"/>
        </w:rPr>
        <w:t xml:space="preserve">but also from overseas, i.e., exporting vessels built in the UK. </w:t>
      </w:r>
      <w:r w:rsidR="00C1663F">
        <w:rPr>
          <w:rFonts w:ascii="Calibri Light" w:eastAsia="Times New Roman" w:hAnsi="Calibri Light" w:cs="Calibri Light"/>
          <w:sz w:val="20"/>
          <w:szCs w:val="20"/>
        </w:rPr>
        <w:t>Harland &amp; Wolff’s defence focussed team is currently tendering for fifteen vessel</w:t>
      </w:r>
      <w:r w:rsidR="00B62A47">
        <w:rPr>
          <w:rFonts w:ascii="Calibri Light" w:eastAsia="Times New Roman" w:hAnsi="Calibri Light" w:cs="Calibri Light"/>
          <w:sz w:val="20"/>
          <w:szCs w:val="20"/>
        </w:rPr>
        <w:t xml:space="preserve"> acquisition programmes globally. </w:t>
      </w:r>
    </w:p>
    <w:p w14:paraId="3926EA8A" w14:textId="66821F7C" w:rsidR="00774F91" w:rsidRDefault="00774F91" w:rsidP="000A3A3C">
      <w:pPr>
        <w:jc w:val="both"/>
        <w:rPr>
          <w:rFonts w:ascii="Calibri Light" w:eastAsia="Times New Roman" w:hAnsi="Calibri Light" w:cs="Calibri Light"/>
          <w:sz w:val="20"/>
          <w:szCs w:val="20"/>
        </w:rPr>
      </w:pPr>
    </w:p>
    <w:p w14:paraId="21125953" w14:textId="77777777" w:rsidR="000A3A3C" w:rsidRPr="000A0652" w:rsidRDefault="000A3A3C" w:rsidP="000A3A3C">
      <w:pPr>
        <w:jc w:val="both"/>
        <w:rPr>
          <w:rFonts w:eastAsia="Times New Roman"/>
          <w:b/>
          <w:bCs/>
        </w:rPr>
      </w:pPr>
      <w:r w:rsidRPr="000A0652">
        <w:rPr>
          <w:rFonts w:ascii="Calibri Light" w:eastAsia="Times New Roman" w:hAnsi="Calibri Light" w:cs="Calibri Light"/>
          <w:b/>
          <w:bCs/>
          <w:sz w:val="20"/>
          <w:szCs w:val="20"/>
        </w:rPr>
        <w:t>Commercial</w:t>
      </w:r>
    </w:p>
    <w:p w14:paraId="57F98EA8" w14:textId="5C613EE8" w:rsidR="000A3A3C" w:rsidRDefault="000A3A3C" w:rsidP="000A3A3C">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As reported in the June 2021 trading update, the Company believes that there is </w:t>
      </w:r>
      <w:r w:rsidR="00237DCA">
        <w:rPr>
          <w:rFonts w:ascii="Calibri Light" w:eastAsia="Times New Roman" w:hAnsi="Calibri Light" w:cs="Calibri Light"/>
          <w:sz w:val="20"/>
          <w:szCs w:val="20"/>
        </w:rPr>
        <w:t xml:space="preserve">a large </w:t>
      </w:r>
      <w:r>
        <w:rPr>
          <w:rFonts w:ascii="Calibri Light" w:eastAsia="Times New Roman" w:hAnsi="Calibri Light" w:cs="Calibri Light"/>
          <w:sz w:val="20"/>
          <w:szCs w:val="20"/>
        </w:rPr>
        <w:t xml:space="preserve">opportunity within the </w:t>
      </w:r>
      <w:r w:rsidR="009F5F4E">
        <w:rPr>
          <w:rFonts w:ascii="Calibri Light" w:eastAsia="Times New Roman" w:hAnsi="Calibri Light" w:cs="Calibri Light"/>
          <w:sz w:val="20"/>
          <w:szCs w:val="20"/>
        </w:rPr>
        <w:t>G</w:t>
      </w:r>
      <w:r>
        <w:rPr>
          <w:rFonts w:ascii="Calibri Light" w:eastAsia="Times New Roman" w:hAnsi="Calibri Light" w:cs="Calibri Light"/>
          <w:sz w:val="20"/>
          <w:szCs w:val="20"/>
        </w:rPr>
        <w:t>overnment and quasi-government space for new vessel build</w:t>
      </w:r>
      <w:r w:rsidR="00595DE9">
        <w:rPr>
          <w:rFonts w:ascii="Calibri Light" w:eastAsia="Times New Roman" w:hAnsi="Calibri Light" w:cs="Calibri Light"/>
          <w:sz w:val="20"/>
          <w:szCs w:val="20"/>
        </w:rPr>
        <w:t>. In addition, significant tra</w:t>
      </w:r>
      <w:r w:rsidR="002A6A41">
        <w:rPr>
          <w:rFonts w:ascii="Calibri Light" w:eastAsia="Times New Roman" w:hAnsi="Calibri Light" w:cs="Calibri Light"/>
          <w:sz w:val="20"/>
          <w:szCs w:val="20"/>
        </w:rPr>
        <w:t xml:space="preserve">ction has been built for general cargo vessels and for those that are required for </w:t>
      </w:r>
      <w:r w:rsidR="00345545">
        <w:rPr>
          <w:rFonts w:ascii="Calibri Light" w:eastAsia="Times New Roman" w:hAnsi="Calibri Light" w:cs="Calibri Light"/>
          <w:sz w:val="20"/>
          <w:szCs w:val="20"/>
        </w:rPr>
        <w:t xml:space="preserve">offshore wind farm development. </w:t>
      </w:r>
      <w:r>
        <w:rPr>
          <w:rFonts w:ascii="Calibri Light" w:eastAsia="Times New Roman" w:hAnsi="Calibri Light" w:cs="Calibri Light"/>
          <w:sz w:val="20"/>
          <w:szCs w:val="20"/>
        </w:rPr>
        <w:t xml:space="preserve">The National Shipbuilding Office </w:t>
      </w:r>
      <w:r w:rsidR="00774F91">
        <w:rPr>
          <w:rFonts w:ascii="Calibri Light" w:eastAsia="Times New Roman" w:hAnsi="Calibri Light" w:cs="Calibri Light"/>
          <w:sz w:val="20"/>
          <w:szCs w:val="20"/>
        </w:rPr>
        <w:t>is expected to be</w:t>
      </w:r>
      <w:r>
        <w:rPr>
          <w:rFonts w:ascii="Calibri Light" w:eastAsia="Times New Roman" w:hAnsi="Calibri Light" w:cs="Calibri Light"/>
          <w:sz w:val="20"/>
          <w:szCs w:val="20"/>
        </w:rPr>
        <w:t xml:space="preserve"> commissioned </w:t>
      </w:r>
      <w:r w:rsidR="00345545">
        <w:rPr>
          <w:rFonts w:ascii="Calibri Light" w:eastAsia="Times New Roman" w:hAnsi="Calibri Light" w:cs="Calibri Light"/>
          <w:sz w:val="20"/>
          <w:szCs w:val="20"/>
        </w:rPr>
        <w:t xml:space="preserve">imminently </w:t>
      </w:r>
      <w:r>
        <w:rPr>
          <w:rFonts w:ascii="Calibri Light" w:eastAsia="Times New Roman" w:hAnsi="Calibri Light" w:cs="Calibri Light"/>
          <w:sz w:val="20"/>
          <w:szCs w:val="20"/>
        </w:rPr>
        <w:t>and there is a renewed focus to rejuvenate the shipbuilding industry across the UK</w:t>
      </w:r>
      <w:r w:rsidRPr="000A0652">
        <w:rPr>
          <w:rFonts w:ascii="Calibri Light" w:eastAsia="Times New Roman" w:hAnsi="Calibri Light" w:cs="Calibri Light"/>
          <w:sz w:val="20"/>
          <w:szCs w:val="20"/>
        </w:rPr>
        <w:t>.</w:t>
      </w:r>
      <w:r>
        <w:rPr>
          <w:rFonts w:ascii="Calibri Light" w:eastAsia="Times New Roman" w:hAnsi="Calibri Light" w:cs="Calibri Light"/>
          <w:sz w:val="20"/>
          <w:szCs w:val="20"/>
        </w:rPr>
        <w:t xml:space="preserve"> The National Shipbuilding Office </w:t>
      </w:r>
      <w:r w:rsidR="00774F91">
        <w:rPr>
          <w:rFonts w:ascii="Calibri Light" w:eastAsia="Times New Roman" w:hAnsi="Calibri Light" w:cs="Calibri Light"/>
          <w:sz w:val="20"/>
          <w:szCs w:val="20"/>
        </w:rPr>
        <w:t>is expected to be</w:t>
      </w:r>
      <w:r>
        <w:rPr>
          <w:rFonts w:ascii="Calibri Light" w:eastAsia="Times New Roman" w:hAnsi="Calibri Light" w:cs="Calibri Light"/>
          <w:sz w:val="20"/>
          <w:szCs w:val="20"/>
        </w:rPr>
        <w:t xml:space="preserve"> mandated to oversee the build of over 100 new vessels </w:t>
      </w:r>
      <w:r w:rsidR="00774F91">
        <w:rPr>
          <w:rFonts w:ascii="Calibri Light" w:eastAsia="Times New Roman" w:hAnsi="Calibri Light" w:cs="Calibri Light"/>
          <w:sz w:val="20"/>
          <w:szCs w:val="20"/>
        </w:rPr>
        <w:t xml:space="preserve">over the next decade </w:t>
      </w:r>
      <w:r>
        <w:rPr>
          <w:rFonts w:ascii="Calibri Light" w:eastAsia="Times New Roman" w:hAnsi="Calibri Light" w:cs="Calibri Light"/>
          <w:sz w:val="20"/>
          <w:szCs w:val="20"/>
        </w:rPr>
        <w:t>and also facilitate financing structures for both government and domestic vessels. The Company continues</w:t>
      </w:r>
      <w:r w:rsidR="00774F91">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to keep itself aligned with government policy on shipbuilding</w:t>
      </w:r>
      <w:r w:rsidR="00C770C5">
        <w:rPr>
          <w:rFonts w:ascii="Calibri Light" w:eastAsia="Times New Roman" w:hAnsi="Calibri Light" w:cs="Calibri Light"/>
          <w:sz w:val="20"/>
          <w:szCs w:val="20"/>
        </w:rPr>
        <w:t xml:space="preserve"> following on from the extensive work </w:t>
      </w:r>
      <w:r w:rsidR="00FA0B0C">
        <w:rPr>
          <w:rFonts w:ascii="Calibri Light" w:eastAsia="Times New Roman" w:hAnsi="Calibri Light" w:cs="Calibri Light"/>
          <w:sz w:val="20"/>
          <w:szCs w:val="20"/>
        </w:rPr>
        <w:t xml:space="preserve">that the </w:t>
      </w:r>
      <w:r w:rsidR="007F266D">
        <w:rPr>
          <w:rFonts w:ascii="Calibri Light" w:eastAsia="Times New Roman" w:hAnsi="Calibri Light" w:cs="Calibri Light"/>
          <w:sz w:val="20"/>
          <w:szCs w:val="20"/>
        </w:rPr>
        <w:t>Board has undertaken</w:t>
      </w:r>
      <w:r w:rsidR="00C770C5">
        <w:rPr>
          <w:rFonts w:ascii="Calibri Light" w:eastAsia="Times New Roman" w:hAnsi="Calibri Light" w:cs="Calibri Light"/>
          <w:sz w:val="20"/>
          <w:szCs w:val="20"/>
        </w:rPr>
        <w:t xml:space="preserve"> as part of the Marine Enterprise Working Group (M</w:t>
      </w:r>
      <w:r w:rsidR="007F266D">
        <w:rPr>
          <w:rFonts w:ascii="Calibri Light" w:eastAsia="Times New Roman" w:hAnsi="Calibri Light" w:cs="Calibri Light"/>
          <w:sz w:val="20"/>
          <w:szCs w:val="20"/>
        </w:rPr>
        <w:t>EWG</w:t>
      </w:r>
      <w:r w:rsidR="00C770C5">
        <w:rPr>
          <w:rFonts w:ascii="Calibri Light" w:eastAsia="Times New Roman" w:hAnsi="Calibri Light" w:cs="Calibri Light"/>
          <w:sz w:val="20"/>
          <w:szCs w:val="20"/>
        </w:rPr>
        <w:t>)</w:t>
      </w:r>
      <w:r w:rsidR="007F266D">
        <w:rPr>
          <w:rFonts w:ascii="Calibri Light" w:eastAsia="Times New Roman" w:hAnsi="Calibri Light" w:cs="Calibri Light"/>
          <w:sz w:val="20"/>
          <w:szCs w:val="20"/>
        </w:rPr>
        <w:t xml:space="preserve">, which is </w:t>
      </w:r>
      <w:r w:rsidR="00C770C5">
        <w:rPr>
          <w:rFonts w:ascii="Calibri Light" w:eastAsia="Times New Roman" w:hAnsi="Calibri Light" w:cs="Calibri Light"/>
          <w:sz w:val="20"/>
          <w:szCs w:val="20"/>
        </w:rPr>
        <w:t xml:space="preserve">focused on providing </w:t>
      </w:r>
      <w:r w:rsidR="00E25D95">
        <w:rPr>
          <w:rFonts w:ascii="Calibri Light" w:eastAsia="Times New Roman" w:hAnsi="Calibri Light" w:cs="Calibri Light"/>
          <w:sz w:val="20"/>
          <w:szCs w:val="20"/>
        </w:rPr>
        <w:t xml:space="preserve">industry specific </w:t>
      </w:r>
      <w:r w:rsidR="00C770C5">
        <w:rPr>
          <w:rFonts w:ascii="Calibri Light" w:eastAsia="Times New Roman" w:hAnsi="Calibri Light" w:cs="Calibri Light"/>
          <w:sz w:val="20"/>
          <w:szCs w:val="20"/>
        </w:rPr>
        <w:t>input</w:t>
      </w:r>
      <w:r w:rsidR="00E25D95">
        <w:rPr>
          <w:rFonts w:ascii="Calibri Light" w:eastAsia="Times New Roman" w:hAnsi="Calibri Light" w:cs="Calibri Light"/>
          <w:sz w:val="20"/>
          <w:szCs w:val="20"/>
        </w:rPr>
        <w:t>s</w:t>
      </w:r>
      <w:r w:rsidR="00C770C5">
        <w:rPr>
          <w:rFonts w:ascii="Calibri Light" w:eastAsia="Times New Roman" w:hAnsi="Calibri Light" w:cs="Calibri Light"/>
          <w:sz w:val="20"/>
          <w:szCs w:val="20"/>
        </w:rPr>
        <w:t xml:space="preserve"> in</w:t>
      </w:r>
      <w:r w:rsidR="00A03A57">
        <w:rPr>
          <w:rFonts w:ascii="Calibri Light" w:eastAsia="Times New Roman" w:hAnsi="Calibri Light" w:cs="Calibri Light"/>
          <w:sz w:val="20"/>
          <w:szCs w:val="20"/>
        </w:rPr>
        <w:t xml:space="preserve"> order </w:t>
      </w:r>
      <w:r w:rsidR="00C770C5">
        <w:rPr>
          <w:rFonts w:ascii="Calibri Light" w:eastAsia="Times New Roman" w:hAnsi="Calibri Light" w:cs="Calibri Light"/>
          <w:sz w:val="20"/>
          <w:szCs w:val="20"/>
        </w:rPr>
        <w:t xml:space="preserve">to refresh </w:t>
      </w:r>
      <w:r w:rsidR="00991E91">
        <w:rPr>
          <w:rFonts w:ascii="Calibri Light" w:eastAsia="Times New Roman" w:hAnsi="Calibri Light" w:cs="Calibri Light"/>
          <w:sz w:val="20"/>
          <w:szCs w:val="20"/>
        </w:rPr>
        <w:t xml:space="preserve">the </w:t>
      </w:r>
      <w:r w:rsidR="00C770C5">
        <w:rPr>
          <w:rFonts w:ascii="Calibri Light" w:eastAsia="Times New Roman" w:hAnsi="Calibri Light" w:cs="Calibri Light"/>
          <w:sz w:val="20"/>
          <w:szCs w:val="20"/>
        </w:rPr>
        <w:t>national shipbuilding strategy.</w:t>
      </w:r>
      <w:r w:rsidR="00991E91">
        <w:rPr>
          <w:rFonts w:ascii="Calibri Light" w:eastAsia="Times New Roman" w:hAnsi="Calibri Light" w:cs="Calibri Light"/>
          <w:sz w:val="20"/>
          <w:szCs w:val="20"/>
        </w:rPr>
        <w:t xml:space="preserve">  </w:t>
      </w:r>
      <w:r w:rsidR="004C674B">
        <w:rPr>
          <w:rFonts w:ascii="Calibri Light" w:eastAsia="Times New Roman" w:hAnsi="Calibri Light" w:cs="Calibri Light"/>
          <w:sz w:val="20"/>
          <w:szCs w:val="20"/>
        </w:rPr>
        <w:t xml:space="preserve">Harland &amp; Wolff’s dedicated commercial maritime team is currently in the process of tendering for </w:t>
      </w:r>
      <w:r w:rsidR="00B2242A">
        <w:rPr>
          <w:rFonts w:ascii="Calibri Light" w:eastAsia="Times New Roman" w:hAnsi="Calibri Light" w:cs="Calibri Light"/>
          <w:sz w:val="20"/>
          <w:szCs w:val="20"/>
        </w:rPr>
        <w:t>twenty-two</w:t>
      </w:r>
      <w:r w:rsidR="004C674B">
        <w:rPr>
          <w:rFonts w:ascii="Calibri Light" w:eastAsia="Times New Roman" w:hAnsi="Calibri Light" w:cs="Calibri Light"/>
          <w:sz w:val="20"/>
          <w:szCs w:val="20"/>
        </w:rPr>
        <w:t xml:space="preserve"> of vessels within this market.</w:t>
      </w:r>
    </w:p>
    <w:p w14:paraId="7A9DACDC" w14:textId="03CDEA90" w:rsidR="00C770C5" w:rsidRDefault="00C770C5" w:rsidP="000A3A3C">
      <w:pPr>
        <w:jc w:val="both"/>
        <w:rPr>
          <w:rFonts w:ascii="Calibri Light" w:eastAsia="Times New Roman" w:hAnsi="Calibri Light" w:cs="Calibri Light"/>
          <w:sz w:val="20"/>
          <w:szCs w:val="20"/>
        </w:rPr>
      </w:pPr>
    </w:p>
    <w:p w14:paraId="36A17A5C" w14:textId="77777777" w:rsidR="000A3A3C" w:rsidRPr="000A0652" w:rsidRDefault="000A3A3C" w:rsidP="000A3A3C">
      <w:pPr>
        <w:jc w:val="both"/>
        <w:rPr>
          <w:rFonts w:eastAsia="Times New Roman"/>
        </w:rPr>
      </w:pPr>
      <w:r w:rsidRPr="000A0652">
        <w:rPr>
          <w:rFonts w:ascii="Calibri Light" w:eastAsia="Times New Roman" w:hAnsi="Calibri Light" w:cs="Calibri Light"/>
          <w:sz w:val="20"/>
          <w:szCs w:val="20"/>
        </w:rPr>
        <w:t> </w:t>
      </w:r>
    </w:p>
    <w:p w14:paraId="6BDFE79F" w14:textId="77777777" w:rsidR="000A3A3C" w:rsidRPr="000A0652" w:rsidRDefault="000A3A3C" w:rsidP="000A3A3C">
      <w:pPr>
        <w:jc w:val="both"/>
        <w:rPr>
          <w:rFonts w:eastAsia="Times New Roman"/>
          <w:b/>
          <w:bCs/>
        </w:rPr>
      </w:pPr>
      <w:r w:rsidRPr="000A0652">
        <w:rPr>
          <w:rFonts w:ascii="Calibri Light" w:eastAsia="Times New Roman" w:hAnsi="Calibri Light" w:cs="Calibri Light"/>
          <w:b/>
          <w:bCs/>
          <w:sz w:val="20"/>
          <w:szCs w:val="20"/>
        </w:rPr>
        <w:t>Energy</w:t>
      </w:r>
    </w:p>
    <w:p w14:paraId="07C5B48E" w14:textId="77777777" w:rsidR="000A3A3C" w:rsidRPr="000A0652" w:rsidRDefault="000A3A3C" w:rsidP="000A3A3C">
      <w:pPr>
        <w:jc w:val="both"/>
        <w:rPr>
          <w:rFonts w:eastAsia="Times New Roman"/>
        </w:rPr>
      </w:pPr>
      <w:r>
        <w:rPr>
          <w:rFonts w:ascii="Calibri Light" w:eastAsia="Times New Roman" w:hAnsi="Calibri Light" w:cs="Calibri Light"/>
          <w:sz w:val="20"/>
          <w:szCs w:val="20"/>
        </w:rPr>
        <w:lastRenderedPageBreak/>
        <w:t>With commodity prices at an all-time high, the Company is now</w:t>
      </w:r>
      <w:r w:rsidRPr="000A0652">
        <w:rPr>
          <w:rFonts w:ascii="Calibri Light" w:eastAsia="Times New Roman" w:hAnsi="Calibri Light" w:cs="Calibri Light"/>
          <w:sz w:val="20"/>
          <w:szCs w:val="20"/>
        </w:rPr>
        <w:t xml:space="preserve"> starting to see enquiries focusing on repurposing of facilities and electrification of existing assets to complement the growing portfolio of offshore wind farms in the North Sea</w:t>
      </w:r>
      <w:r>
        <w:rPr>
          <w:rFonts w:ascii="Calibri Light" w:eastAsia="Times New Roman" w:hAnsi="Calibri Light" w:cs="Calibri Light"/>
          <w:sz w:val="20"/>
          <w:szCs w:val="20"/>
        </w:rPr>
        <w:t xml:space="preserve"> as well as for fabrication of infrastructure to extend the life of various oil and gas fields</w:t>
      </w:r>
      <w:r w:rsidRPr="000A0652">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The Company</w:t>
      </w:r>
      <w:r w:rsidRPr="000A0652">
        <w:rPr>
          <w:rFonts w:ascii="Calibri Light" w:eastAsia="Times New Roman" w:hAnsi="Calibri Light" w:cs="Calibri Light"/>
          <w:sz w:val="20"/>
          <w:szCs w:val="20"/>
        </w:rPr>
        <w:t xml:space="preserve"> will continue to actively pursue these exciting projects as they develop. The Company expects more robust activity and contracts in 2022 as the global economy normalises.</w:t>
      </w:r>
    </w:p>
    <w:p w14:paraId="46AC4D61" w14:textId="77777777" w:rsidR="000A3A3C" w:rsidRPr="000A0652" w:rsidRDefault="000A3A3C" w:rsidP="000A3A3C">
      <w:pPr>
        <w:jc w:val="both"/>
        <w:rPr>
          <w:rFonts w:eastAsia="Times New Roman"/>
        </w:rPr>
      </w:pPr>
      <w:r w:rsidRPr="000A0652">
        <w:rPr>
          <w:rFonts w:ascii="Calibri Light" w:eastAsia="Times New Roman" w:hAnsi="Calibri Light" w:cs="Calibri Light"/>
          <w:sz w:val="20"/>
          <w:szCs w:val="20"/>
        </w:rPr>
        <w:t> </w:t>
      </w:r>
    </w:p>
    <w:p w14:paraId="5B215901" w14:textId="11BE2334" w:rsidR="000A3A3C" w:rsidRPr="000A0652" w:rsidRDefault="000A3A3C" w:rsidP="000A3A3C">
      <w:pPr>
        <w:jc w:val="both"/>
        <w:rPr>
          <w:rFonts w:eastAsia="Times New Roman"/>
          <w:b/>
          <w:bCs/>
        </w:rPr>
      </w:pPr>
      <w:proofErr w:type="spellStart"/>
      <w:r w:rsidRPr="000A0652">
        <w:rPr>
          <w:rFonts w:ascii="Calibri Light" w:eastAsia="Times New Roman" w:hAnsi="Calibri Light" w:cs="Calibri Light"/>
          <w:b/>
          <w:bCs/>
          <w:sz w:val="20"/>
          <w:szCs w:val="20"/>
        </w:rPr>
        <w:t>Islandmagee</w:t>
      </w:r>
      <w:proofErr w:type="spellEnd"/>
      <w:r w:rsidRPr="000A0652">
        <w:rPr>
          <w:rFonts w:ascii="Calibri Light" w:eastAsia="Times New Roman" w:hAnsi="Calibri Light" w:cs="Calibri Light"/>
          <w:b/>
          <w:bCs/>
          <w:sz w:val="20"/>
          <w:szCs w:val="20"/>
        </w:rPr>
        <w:t xml:space="preserve"> </w:t>
      </w:r>
      <w:r w:rsidR="00A00C46">
        <w:rPr>
          <w:rFonts w:ascii="Calibri Light" w:eastAsia="Times New Roman" w:hAnsi="Calibri Light" w:cs="Calibri Light"/>
          <w:b/>
          <w:bCs/>
          <w:sz w:val="20"/>
          <w:szCs w:val="20"/>
        </w:rPr>
        <w:t>G</w:t>
      </w:r>
      <w:r w:rsidRPr="000A0652">
        <w:rPr>
          <w:rFonts w:ascii="Calibri Light" w:eastAsia="Times New Roman" w:hAnsi="Calibri Light" w:cs="Calibri Light"/>
          <w:b/>
          <w:bCs/>
          <w:sz w:val="20"/>
          <w:szCs w:val="20"/>
        </w:rPr>
        <w:t xml:space="preserve">as </w:t>
      </w:r>
      <w:r w:rsidR="00A00C46">
        <w:rPr>
          <w:rFonts w:ascii="Calibri Light" w:eastAsia="Times New Roman" w:hAnsi="Calibri Light" w:cs="Calibri Light"/>
          <w:b/>
          <w:bCs/>
          <w:sz w:val="20"/>
          <w:szCs w:val="20"/>
        </w:rPr>
        <w:t>S</w:t>
      </w:r>
      <w:r w:rsidRPr="000A0652">
        <w:rPr>
          <w:rFonts w:ascii="Calibri Light" w:eastAsia="Times New Roman" w:hAnsi="Calibri Light" w:cs="Calibri Light"/>
          <w:b/>
          <w:bCs/>
          <w:sz w:val="20"/>
          <w:szCs w:val="20"/>
        </w:rPr>
        <w:t xml:space="preserve">torage </w:t>
      </w:r>
      <w:r w:rsidR="00A00C46">
        <w:rPr>
          <w:rFonts w:ascii="Calibri Light" w:eastAsia="Times New Roman" w:hAnsi="Calibri Light" w:cs="Calibri Light"/>
          <w:b/>
          <w:bCs/>
          <w:sz w:val="20"/>
          <w:szCs w:val="20"/>
        </w:rPr>
        <w:t>P</w:t>
      </w:r>
      <w:r w:rsidRPr="000A0652">
        <w:rPr>
          <w:rFonts w:ascii="Calibri Light" w:eastAsia="Times New Roman" w:hAnsi="Calibri Light" w:cs="Calibri Light"/>
          <w:b/>
          <w:bCs/>
          <w:sz w:val="20"/>
          <w:szCs w:val="20"/>
        </w:rPr>
        <w:t>roject</w:t>
      </w:r>
    </w:p>
    <w:p w14:paraId="2960623E" w14:textId="2440E8FF" w:rsidR="000A3A3C" w:rsidRDefault="00712AE1" w:rsidP="000A3A3C">
      <w:pPr>
        <w:jc w:val="both"/>
        <w:rPr>
          <w:rStyle w:val="bm"/>
          <w:rFonts w:ascii="Calibri Light" w:hAnsi="Calibri Light" w:cs="Calibri Light"/>
          <w:color w:val="000000"/>
          <w:sz w:val="20"/>
          <w:szCs w:val="20"/>
        </w:rPr>
      </w:pPr>
      <w:r>
        <w:rPr>
          <w:rFonts w:ascii="Calibri Light" w:eastAsia="Times New Roman" w:hAnsi="Calibri Light" w:cs="Calibri Light"/>
          <w:sz w:val="20"/>
          <w:szCs w:val="20"/>
        </w:rPr>
        <w:t xml:space="preserve">The Company announced on </w:t>
      </w:r>
      <w:r w:rsidR="00CA1476">
        <w:rPr>
          <w:rFonts w:ascii="Calibri Light" w:eastAsia="Times New Roman" w:hAnsi="Calibri Light" w:cs="Calibri Light"/>
          <w:sz w:val="20"/>
          <w:szCs w:val="20"/>
        </w:rPr>
        <w:t xml:space="preserve">13 October 2021 that it has </w:t>
      </w:r>
      <w:r w:rsidR="00AA2983">
        <w:rPr>
          <w:rFonts w:ascii="Calibri Light" w:eastAsia="Times New Roman" w:hAnsi="Calibri Light" w:cs="Calibri Light"/>
          <w:sz w:val="20"/>
          <w:szCs w:val="20"/>
        </w:rPr>
        <w:t>been informed by the Department of Agriculture, Environment and Rural Affairs</w:t>
      </w:r>
      <w:r w:rsidR="006F6E9D">
        <w:rPr>
          <w:rFonts w:ascii="Calibri Light" w:eastAsia="Times New Roman" w:hAnsi="Calibri Light" w:cs="Calibri Light"/>
          <w:sz w:val="20"/>
          <w:szCs w:val="20"/>
        </w:rPr>
        <w:t xml:space="preserve"> (DAERA)</w:t>
      </w:r>
      <w:r w:rsidR="00AA2983">
        <w:rPr>
          <w:rFonts w:ascii="Calibri Light" w:eastAsia="Times New Roman" w:hAnsi="Calibri Light" w:cs="Calibri Light"/>
          <w:sz w:val="20"/>
          <w:szCs w:val="20"/>
        </w:rPr>
        <w:t xml:space="preserve"> </w:t>
      </w:r>
      <w:r w:rsidR="006F6E9D">
        <w:rPr>
          <w:rStyle w:val="bj"/>
          <w:rFonts w:ascii="Calibri Light" w:hAnsi="Calibri Light" w:cs="Calibri Light"/>
          <w:color w:val="000000"/>
          <w:sz w:val="20"/>
          <w:szCs w:val="20"/>
        </w:rPr>
        <w:t>that it will issue the </w:t>
      </w:r>
      <w:r w:rsidR="006F6E9D">
        <w:rPr>
          <w:rStyle w:val="bi"/>
          <w:rFonts w:ascii="Calibri Light" w:hAnsi="Calibri Light" w:cs="Calibri Light"/>
          <w:color w:val="000000"/>
          <w:sz w:val="20"/>
          <w:szCs w:val="20"/>
        </w:rPr>
        <w:t>Environmental Consent Decision, Marine Licence, reviewed Abstraction Licence and Discharge Consent</w:t>
      </w:r>
      <w:r w:rsidR="006F6E9D">
        <w:rPr>
          <w:color w:val="000000"/>
        </w:rPr>
        <w:t> </w:t>
      </w:r>
      <w:r w:rsidR="006F6E9D">
        <w:rPr>
          <w:rStyle w:val="bm"/>
          <w:rFonts w:ascii="Calibri Light" w:hAnsi="Calibri Light" w:cs="Calibri Light"/>
          <w:color w:val="000000"/>
          <w:sz w:val="20"/>
          <w:szCs w:val="20"/>
        </w:rPr>
        <w:t xml:space="preserve">for the </w:t>
      </w:r>
      <w:proofErr w:type="spellStart"/>
      <w:r w:rsidR="006F6E9D">
        <w:rPr>
          <w:rStyle w:val="bm"/>
          <w:rFonts w:ascii="Calibri Light" w:hAnsi="Calibri Light" w:cs="Calibri Light"/>
          <w:color w:val="000000"/>
          <w:sz w:val="20"/>
          <w:szCs w:val="20"/>
        </w:rPr>
        <w:t>Islandmagee</w:t>
      </w:r>
      <w:proofErr w:type="spellEnd"/>
      <w:r w:rsidR="006F6E9D">
        <w:rPr>
          <w:rStyle w:val="bm"/>
          <w:rFonts w:ascii="Calibri Light" w:hAnsi="Calibri Light" w:cs="Calibri Light"/>
          <w:color w:val="000000"/>
          <w:sz w:val="20"/>
          <w:szCs w:val="20"/>
        </w:rPr>
        <w:t xml:space="preserve"> Gas Storage project (the "Project").</w:t>
      </w:r>
      <w:r w:rsidR="00A00C46">
        <w:rPr>
          <w:rStyle w:val="bm"/>
          <w:rFonts w:ascii="Calibri Light" w:hAnsi="Calibri Light" w:cs="Calibri Light"/>
          <w:color w:val="000000"/>
          <w:sz w:val="20"/>
          <w:szCs w:val="20"/>
        </w:rPr>
        <w:t xml:space="preserve"> The issuance of these licences </w:t>
      </w:r>
      <w:r w:rsidR="007E67A9">
        <w:rPr>
          <w:rStyle w:val="bm"/>
          <w:rFonts w:ascii="Calibri Light" w:hAnsi="Calibri Light" w:cs="Calibri Light"/>
          <w:color w:val="000000"/>
          <w:sz w:val="20"/>
          <w:szCs w:val="20"/>
        </w:rPr>
        <w:t xml:space="preserve">is subject to the Company’s acceptance of certain conditions precedent as well its acceptance of ongoing monitoring obligations. Having reviewed these conditions, the Company is satisfied that it can successfully meet the conditions and ongoing obligations </w:t>
      </w:r>
      <w:r w:rsidR="00AC289C">
        <w:rPr>
          <w:rStyle w:val="bm"/>
          <w:rFonts w:ascii="Calibri Light" w:hAnsi="Calibri Light" w:cs="Calibri Light"/>
          <w:color w:val="000000"/>
          <w:sz w:val="20"/>
          <w:szCs w:val="20"/>
        </w:rPr>
        <w:t xml:space="preserve">and has, therefore, informed DAERA of such acceptance. The Company now expects DAERA to issue </w:t>
      </w:r>
      <w:r w:rsidR="00CD14A5">
        <w:rPr>
          <w:rStyle w:val="bm"/>
          <w:rFonts w:ascii="Calibri Light" w:hAnsi="Calibri Light" w:cs="Calibri Light"/>
          <w:color w:val="000000"/>
          <w:sz w:val="20"/>
          <w:szCs w:val="20"/>
        </w:rPr>
        <w:t>the full marine licence within the next fortnight per the agreed timetable</w:t>
      </w:r>
      <w:r w:rsidR="00CF688B">
        <w:rPr>
          <w:rStyle w:val="bm"/>
          <w:rFonts w:ascii="Calibri Light" w:hAnsi="Calibri Light" w:cs="Calibri Light"/>
          <w:color w:val="000000"/>
          <w:sz w:val="20"/>
          <w:szCs w:val="20"/>
        </w:rPr>
        <w:t xml:space="preserve">. </w:t>
      </w:r>
      <w:r w:rsidR="00C450F7">
        <w:rPr>
          <w:rStyle w:val="bm"/>
          <w:rFonts w:ascii="Calibri Light" w:hAnsi="Calibri Light" w:cs="Calibri Light"/>
          <w:color w:val="000000"/>
          <w:sz w:val="20"/>
          <w:szCs w:val="20"/>
        </w:rPr>
        <w:t xml:space="preserve">The Company understands that there could </w:t>
      </w:r>
      <w:r w:rsidR="0089528B">
        <w:rPr>
          <w:rStyle w:val="bm"/>
          <w:rFonts w:ascii="Calibri Light" w:hAnsi="Calibri Light" w:cs="Calibri Light"/>
          <w:color w:val="000000"/>
          <w:sz w:val="20"/>
          <w:szCs w:val="20"/>
        </w:rPr>
        <w:t xml:space="preserve">possibly </w:t>
      </w:r>
      <w:r w:rsidR="00C450F7">
        <w:rPr>
          <w:rStyle w:val="bm"/>
          <w:rFonts w:ascii="Calibri Light" w:hAnsi="Calibri Light" w:cs="Calibri Light"/>
          <w:color w:val="000000"/>
          <w:sz w:val="20"/>
          <w:szCs w:val="20"/>
        </w:rPr>
        <w:t xml:space="preserve">be a call for a judicial review </w:t>
      </w:r>
      <w:r w:rsidR="002059F8">
        <w:rPr>
          <w:rStyle w:val="bm"/>
          <w:rFonts w:ascii="Calibri Light" w:hAnsi="Calibri Light" w:cs="Calibri Light"/>
          <w:color w:val="000000"/>
          <w:sz w:val="20"/>
          <w:szCs w:val="20"/>
        </w:rPr>
        <w:t>once the award of the licence has been made. However, the Company</w:t>
      </w:r>
      <w:r w:rsidR="001F2768">
        <w:rPr>
          <w:rStyle w:val="bm"/>
          <w:rFonts w:ascii="Calibri Light" w:hAnsi="Calibri Light" w:cs="Calibri Light"/>
          <w:color w:val="000000"/>
          <w:sz w:val="20"/>
          <w:szCs w:val="20"/>
        </w:rPr>
        <w:t xml:space="preserve"> is firmly of the opinion that such a legal challenge </w:t>
      </w:r>
      <w:r w:rsidR="00466BC0">
        <w:rPr>
          <w:rStyle w:val="bm"/>
          <w:rFonts w:ascii="Calibri Light" w:hAnsi="Calibri Light" w:cs="Calibri Light"/>
          <w:color w:val="000000"/>
          <w:sz w:val="20"/>
          <w:szCs w:val="20"/>
        </w:rPr>
        <w:t>would have</w:t>
      </w:r>
      <w:r w:rsidR="00D4558B">
        <w:rPr>
          <w:rStyle w:val="bm"/>
          <w:rFonts w:ascii="Calibri Light" w:hAnsi="Calibri Light" w:cs="Calibri Light"/>
          <w:color w:val="000000"/>
          <w:sz w:val="20"/>
          <w:szCs w:val="20"/>
        </w:rPr>
        <w:t xml:space="preserve"> no merit and has</w:t>
      </w:r>
      <w:r w:rsidR="003159A3">
        <w:rPr>
          <w:rStyle w:val="bm"/>
          <w:rFonts w:ascii="Calibri Light" w:hAnsi="Calibri Light" w:cs="Calibri Light"/>
          <w:color w:val="000000"/>
          <w:sz w:val="20"/>
          <w:szCs w:val="20"/>
        </w:rPr>
        <w:t>, accordingly,</w:t>
      </w:r>
      <w:r w:rsidR="00D4558B">
        <w:rPr>
          <w:rStyle w:val="bm"/>
          <w:rFonts w:ascii="Calibri Light" w:hAnsi="Calibri Light" w:cs="Calibri Light"/>
          <w:color w:val="000000"/>
          <w:sz w:val="20"/>
          <w:szCs w:val="20"/>
        </w:rPr>
        <w:t xml:space="preserve"> </w:t>
      </w:r>
      <w:r w:rsidR="0089528B">
        <w:rPr>
          <w:rStyle w:val="bm"/>
          <w:rFonts w:ascii="Calibri Light" w:hAnsi="Calibri Light" w:cs="Calibri Light"/>
          <w:color w:val="000000"/>
          <w:sz w:val="20"/>
          <w:szCs w:val="20"/>
        </w:rPr>
        <w:t xml:space="preserve">procured </w:t>
      </w:r>
      <w:r w:rsidR="00D4558B">
        <w:rPr>
          <w:rStyle w:val="bm"/>
          <w:rFonts w:ascii="Calibri Light" w:hAnsi="Calibri Light" w:cs="Calibri Light"/>
          <w:color w:val="000000"/>
          <w:sz w:val="20"/>
          <w:szCs w:val="20"/>
        </w:rPr>
        <w:t xml:space="preserve">third party legal advice and opinion which corroborates the Company’s view. </w:t>
      </w:r>
    </w:p>
    <w:p w14:paraId="36EFDAC1" w14:textId="2AA7F15C" w:rsidR="00CF688B" w:rsidRDefault="00CF688B" w:rsidP="000A3A3C">
      <w:pPr>
        <w:jc w:val="both"/>
        <w:rPr>
          <w:rStyle w:val="bm"/>
          <w:rFonts w:ascii="Calibri Light" w:hAnsi="Calibri Light" w:cs="Calibri Light"/>
          <w:color w:val="000000"/>
          <w:sz w:val="20"/>
          <w:szCs w:val="20"/>
        </w:rPr>
      </w:pPr>
    </w:p>
    <w:p w14:paraId="7228D795" w14:textId="693736AE" w:rsidR="0050266D" w:rsidRDefault="00CF688B" w:rsidP="000A3A3C">
      <w:pPr>
        <w:jc w:val="both"/>
        <w:rPr>
          <w:rStyle w:val="bm"/>
          <w:rFonts w:ascii="Calibri Light" w:hAnsi="Calibri Light" w:cs="Calibri Light"/>
          <w:color w:val="000000"/>
          <w:sz w:val="20"/>
          <w:szCs w:val="20"/>
        </w:rPr>
      </w:pPr>
      <w:r>
        <w:rPr>
          <w:rStyle w:val="bm"/>
          <w:rFonts w:ascii="Calibri Light" w:hAnsi="Calibri Light" w:cs="Calibri Light"/>
          <w:color w:val="000000"/>
          <w:sz w:val="20"/>
          <w:szCs w:val="20"/>
        </w:rPr>
        <w:t xml:space="preserve">The issuance of this full marine licence </w:t>
      </w:r>
      <w:r w:rsidR="00C770C5">
        <w:rPr>
          <w:rStyle w:val="bm"/>
          <w:rFonts w:ascii="Calibri Light" w:hAnsi="Calibri Light" w:cs="Calibri Light"/>
          <w:color w:val="000000"/>
          <w:sz w:val="20"/>
          <w:szCs w:val="20"/>
        </w:rPr>
        <w:t xml:space="preserve">is </w:t>
      </w:r>
      <w:r w:rsidR="00F00383">
        <w:rPr>
          <w:rStyle w:val="bm"/>
          <w:rFonts w:ascii="Calibri Light" w:hAnsi="Calibri Light" w:cs="Calibri Light"/>
          <w:color w:val="000000"/>
          <w:sz w:val="20"/>
          <w:szCs w:val="20"/>
        </w:rPr>
        <w:t>an opportune</w:t>
      </w:r>
      <w:r w:rsidR="00C770C5">
        <w:rPr>
          <w:rStyle w:val="bm"/>
          <w:rFonts w:ascii="Calibri Light" w:hAnsi="Calibri Light" w:cs="Calibri Light"/>
          <w:color w:val="000000"/>
          <w:sz w:val="20"/>
          <w:szCs w:val="20"/>
        </w:rPr>
        <w:t xml:space="preserve"> time to undertake a full review of the best funding mechanism and the </w:t>
      </w:r>
      <w:r w:rsidR="00CF3F13">
        <w:rPr>
          <w:rStyle w:val="bm"/>
          <w:rFonts w:ascii="Calibri Light" w:hAnsi="Calibri Light" w:cs="Calibri Light"/>
          <w:color w:val="000000"/>
          <w:sz w:val="20"/>
          <w:szCs w:val="20"/>
        </w:rPr>
        <w:t>nature</w:t>
      </w:r>
      <w:r w:rsidR="00C770C5">
        <w:rPr>
          <w:rStyle w:val="bm"/>
          <w:rFonts w:ascii="Calibri Light" w:hAnsi="Calibri Light" w:cs="Calibri Light"/>
          <w:color w:val="000000"/>
          <w:sz w:val="20"/>
          <w:szCs w:val="20"/>
        </w:rPr>
        <w:t xml:space="preserve"> of </w:t>
      </w:r>
      <w:r w:rsidR="0050266D">
        <w:rPr>
          <w:rStyle w:val="bm"/>
          <w:rFonts w:ascii="Calibri Light" w:hAnsi="Calibri Light" w:cs="Calibri Light"/>
          <w:color w:val="000000"/>
          <w:sz w:val="20"/>
          <w:szCs w:val="20"/>
        </w:rPr>
        <w:t>our future participation in this project</w:t>
      </w:r>
      <w:r w:rsidR="00CF3F13">
        <w:rPr>
          <w:rStyle w:val="bm"/>
          <w:rFonts w:ascii="Calibri Light" w:hAnsi="Calibri Light" w:cs="Calibri Light"/>
          <w:color w:val="000000"/>
          <w:sz w:val="20"/>
          <w:szCs w:val="20"/>
        </w:rPr>
        <w:t>.</w:t>
      </w:r>
      <w:r w:rsidR="0050266D">
        <w:rPr>
          <w:rStyle w:val="bm"/>
          <w:rFonts w:ascii="Calibri Light" w:hAnsi="Calibri Light" w:cs="Calibri Light"/>
          <w:color w:val="000000"/>
          <w:sz w:val="20"/>
          <w:szCs w:val="20"/>
        </w:rPr>
        <w:t xml:space="preserve">  The focus on the current </w:t>
      </w:r>
      <w:r w:rsidR="003D57C5">
        <w:rPr>
          <w:rStyle w:val="bm"/>
          <w:rFonts w:ascii="Calibri Light" w:hAnsi="Calibri Light" w:cs="Calibri Light"/>
          <w:color w:val="000000"/>
          <w:sz w:val="20"/>
          <w:szCs w:val="20"/>
        </w:rPr>
        <w:t xml:space="preserve">gas supply </w:t>
      </w:r>
      <w:r w:rsidR="0050266D">
        <w:rPr>
          <w:rStyle w:val="bm"/>
          <w:rFonts w:ascii="Calibri Light" w:hAnsi="Calibri Light" w:cs="Calibri Light"/>
          <w:color w:val="000000"/>
          <w:sz w:val="20"/>
          <w:szCs w:val="20"/>
        </w:rPr>
        <w:t xml:space="preserve">crisis </w:t>
      </w:r>
      <w:r w:rsidR="00BC6DCC">
        <w:rPr>
          <w:rStyle w:val="bm"/>
          <w:rFonts w:ascii="Calibri Light" w:hAnsi="Calibri Light" w:cs="Calibri Light"/>
          <w:color w:val="000000"/>
          <w:sz w:val="20"/>
          <w:szCs w:val="20"/>
        </w:rPr>
        <w:t>along with</w:t>
      </w:r>
      <w:r w:rsidR="0018428A">
        <w:rPr>
          <w:rStyle w:val="bm"/>
          <w:rFonts w:ascii="Calibri Light" w:hAnsi="Calibri Light" w:cs="Calibri Light"/>
          <w:color w:val="000000"/>
          <w:sz w:val="20"/>
          <w:szCs w:val="20"/>
        </w:rPr>
        <w:t xml:space="preserve"> support from the </w:t>
      </w:r>
      <w:r w:rsidR="0050266D">
        <w:rPr>
          <w:rStyle w:val="bm"/>
          <w:rFonts w:ascii="Calibri Light" w:hAnsi="Calibri Light" w:cs="Calibri Light"/>
          <w:color w:val="000000"/>
          <w:sz w:val="20"/>
          <w:szCs w:val="20"/>
        </w:rPr>
        <w:t>National Infrastructure Bank for shovel ready projects</w:t>
      </w:r>
      <w:r w:rsidR="00B92991">
        <w:rPr>
          <w:rStyle w:val="bm"/>
          <w:rFonts w:ascii="Calibri Light" w:hAnsi="Calibri Light" w:cs="Calibri Light"/>
          <w:color w:val="000000"/>
          <w:sz w:val="20"/>
          <w:szCs w:val="20"/>
        </w:rPr>
        <w:t xml:space="preserve"> warrants further evaluation of the various funding options as the UK economy </w:t>
      </w:r>
      <w:r w:rsidR="00406167">
        <w:rPr>
          <w:rStyle w:val="bm"/>
          <w:rFonts w:ascii="Calibri Light" w:hAnsi="Calibri Light" w:cs="Calibri Light"/>
          <w:color w:val="000000"/>
          <w:sz w:val="20"/>
          <w:szCs w:val="20"/>
        </w:rPr>
        <w:t xml:space="preserve">progresses towards its </w:t>
      </w:r>
      <w:r w:rsidR="0050266D">
        <w:rPr>
          <w:rStyle w:val="bm"/>
          <w:rFonts w:ascii="Calibri Light" w:hAnsi="Calibri Light" w:cs="Calibri Light"/>
          <w:color w:val="000000"/>
          <w:sz w:val="20"/>
          <w:szCs w:val="20"/>
        </w:rPr>
        <w:t>Net Zero</w:t>
      </w:r>
      <w:r w:rsidR="00406167">
        <w:rPr>
          <w:rStyle w:val="bm"/>
          <w:rFonts w:ascii="Calibri Light" w:hAnsi="Calibri Light" w:cs="Calibri Light"/>
          <w:color w:val="000000"/>
          <w:sz w:val="20"/>
          <w:szCs w:val="20"/>
        </w:rPr>
        <w:t xml:space="preserve"> target. </w:t>
      </w:r>
      <w:r w:rsidR="00A12109">
        <w:rPr>
          <w:rStyle w:val="bm"/>
          <w:rFonts w:ascii="Calibri Light" w:hAnsi="Calibri Light" w:cs="Calibri Light"/>
          <w:color w:val="000000"/>
          <w:sz w:val="20"/>
          <w:szCs w:val="20"/>
        </w:rPr>
        <w:t xml:space="preserve">As reported previously, the </w:t>
      </w:r>
      <w:r w:rsidR="009C67BF">
        <w:rPr>
          <w:rStyle w:val="bm"/>
          <w:rFonts w:ascii="Calibri Light" w:hAnsi="Calibri Light" w:cs="Calibri Light"/>
          <w:color w:val="000000"/>
          <w:sz w:val="20"/>
          <w:szCs w:val="20"/>
        </w:rPr>
        <w:t xml:space="preserve">Project, whilst currently focussed on the storage of natural gas, has the capability, subject to regulatory approvals, to store large volumes of hydrogen. As the UK economy </w:t>
      </w:r>
      <w:r w:rsidR="00AC0FF1">
        <w:rPr>
          <w:rStyle w:val="bm"/>
          <w:rFonts w:ascii="Calibri Light" w:hAnsi="Calibri Light" w:cs="Calibri Light"/>
          <w:color w:val="000000"/>
          <w:sz w:val="20"/>
          <w:szCs w:val="20"/>
        </w:rPr>
        <w:t xml:space="preserve">progressively </w:t>
      </w:r>
      <w:r w:rsidR="009C67BF">
        <w:rPr>
          <w:rStyle w:val="bm"/>
          <w:rFonts w:ascii="Calibri Light" w:hAnsi="Calibri Light" w:cs="Calibri Light"/>
          <w:color w:val="000000"/>
          <w:sz w:val="20"/>
          <w:szCs w:val="20"/>
        </w:rPr>
        <w:t xml:space="preserve">transitions from natural gas to hydrogen, large scale hydrogen storage will be critical </w:t>
      </w:r>
      <w:r w:rsidR="00C4761C">
        <w:rPr>
          <w:rStyle w:val="bm"/>
          <w:rFonts w:ascii="Calibri Light" w:hAnsi="Calibri Light" w:cs="Calibri Light"/>
          <w:color w:val="000000"/>
          <w:sz w:val="20"/>
          <w:szCs w:val="20"/>
        </w:rPr>
        <w:t xml:space="preserve">for the success of this transition. The Company warmly welcomes the </w:t>
      </w:r>
      <w:r w:rsidR="00036EC2">
        <w:rPr>
          <w:rStyle w:val="bm"/>
          <w:rFonts w:ascii="Calibri Light" w:hAnsi="Calibri Light" w:cs="Calibri Light"/>
          <w:color w:val="000000"/>
          <w:sz w:val="20"/>
          <w:szCs w:val="20"/>
        </w:rPr>
        <w:t xml:space="preserve">Northern Ireland’s Department for Economy’s energy transition report </w:t>
      </w:r>
      <w:r w:rsidR="000342CD">
        <w:rPr>
          <w:rStyle w:val="bm"/>
          <w:rFonts w:ascii="Calibri Light" w:hAnsi="Calibri Light" w:cs="Calibri Light"/>
          <w:color w:val="000000"/>
          <w:sz w:val="20"/>
          <w:szCs w:val="20"/>
        </w:rPr>
        <w:t>in which the vision is to be a world leader in hydrogen production and export</w:t>
      </w:r>
      <w:r w:rsidR="00010EE9">
        <w:rPr>
          <w:rStyle w:val="bm"/>
          <w:rFonts w:ascii="Calibri Light" w:hAnsi="Calibri Light" w:cs="Calibri Light"/>
          <w:color w:val="000000"/>
          <w:sz w:val="20"/>
          <w:szCs w:val="20"/>
        </w:rPr>
        <w:t xml:space="preserve">. The report clearly recognises the value of </w:t>
      </w:r>
      <w:proofErr w:type="gramStart"/>
      <w:r w:rsidR="00BC0743">
        <w:rPr>
          <w:rStyle w:val="bm"/>
          <w:rFonts w:ascii="Calibri Light" w:hAnsi="Calibri Light" w:cs="Calibri Light"/>
          <w:color w:val="000000"/>
          <w:sz w:val="20"/>
          <w:szCs w:val="20"/>
        </w:rPr>
        <w:t>large scale</w:t>
      </w:r>
      <w:proofErr w:type="gramEnd"/>
      <w:r w:rsidR="00BC0743">
        <w:rPr>
          <w:rStyle w:val="bm"/>
          <w:rFonts w:ascii="Calibri Light" w:hAnsi="Calibri Light" w:cs="Calibri Light"/>
          <w:color w:val="000000"/>
          <w:sz w:val="20"/>
          <w:szCs w:val="20"/>
        </w:rPr>
        <w:t xml:space="preserve"> hydrogen storage, given that </w:t>
      </w:r>
      <w:r w:rsidR="00466BC0">
        <w:rPr>
          <w:rStyle w:val="bm"/>
          <w:rFonts w:ascii="Calibri Light" w:hAnsi="Calibri Light" w:cs="Calibri Light"/>
          <w:color w:val="000000"/>
          <w:sz w:val="20"/>
          <w:szCs w:val="20"/>
        </w:rPr>
        <w:t>should</w:t>
      </w:r>
      <w:r w:rsidR="00BC0743">
        <w:rPr>
          <w:rStyle w:val="bm"/>
          <w:rFonts w:ascii="Calibri Light" w:hAnsi="Calibri Light" w:cs="Calibri Light"/>
          <w:color w:val="000000"/>
          <w:sz w:val="20"/>
          <w:szCs w:val="20"/>
        </w:rPr>
        <w:t xml:space="preserve"> hydrogen ultimately becomes the fuel of choice f</w:t>
      </w:r>
      <w:r w:rsidR="009C0BA5">
        <w:rPr>
          <w:rStyle w:val="bm"/>
          <w:rFonts w:ascii="Calibri Light" w:hAnsi="Calibri Light" w:cs="Calibri Light"/>
          <w:color w:val="000000"/>
          <w:sz w:val="20"/>
          <w:szCs w:val="20"/>
        </w:rPr>
        <w:t xml:space="preserve">or the wider economy, it will have demand and supply patterns (typical seasonal </w:t>
      </w:r>
      <w:r w:rsidR="0040547C">
        <w:rPr>
          <w:rStyle w:val="bm"/>
          <w:rFonts w:ascii="Calibri Light" w:hAnsi="Calibri Light" w:cs="Calibri Light"/>
          <w:color w:val="000000"/>
          <w:sz w:val="20"/>
          <w:szCs w:val="20"/>
        </w:rPr>
        <w:t xml:space="preserve">variations) that are similar to those observed in the natural gas markets. </w:t>
      </w:r>
      <w:r w:rsidR="00BF6027">
        <w:rPr>
          <w:rStyle w:val="bm"/>
          <w:rFonts w:ascii="Calibri Light" w:hAnsi="Calibri Light" w:cs="Calibri Light"/>
          <w:color w:val="000000"/>
          <w:sz w:val="20"/>
          <w:szCs w:val="20"/>
        </w:rPr>
        <w:t xml:space="preserve">The Company believes that lessons have to be learned from the failure to </w:t>
      </w:r>
      <w:r w:rsidR="00E146A5">
        <w:rPr>
          <w:rStyle w:val="bm"/>
          <w:rFonts w:ascii="Calibri Light" w:hAnsi="Calibri Light" w:cs="Calibri Light"/>
          <w:color w:val="000000"/>
          <w:sz w:val="20"/>
          <w:szCs w:val="20"/>
        </w:rPr>
        <w:t xml:space="preserve">check price natural gas price volatility and one of the widely recognised mechanisms to mitigate against such price and supply volatility is to have </w:t>
      </w:r>
      <w:r w:rsidR="006742EC">
        <w:rPr>
          <w:rStyle w:val="bm"/>
          <w:rFonts w:ascii="Calibri Light" w:hAnsi="Calibri Light" w:cs="Calibri Light"/>
          <w:color w:val="000000"/>
          <w:sz w:val="20"/>
          <w:szCs w:val="20"/>
        </w:rPr>
        <w:t xml:space="preserve">adequate domestic storage capacity.  </w:t>
      </w:r>
    </w:p>
    <w:p w14:paraId="2F568C67" w14:textId="77777777" w:rsidR="0050266D" w:rsidRDefault="0050266D" w:rsidP="000A3A3C">
      <w:pPr>
        <w:jc w:val="both"/>
        <w:rPr>
          <w:rStyle w:val="bm"/>
          <w:rFonts w:ascii="Calibri Light" w:hAnsi="Calibri Light" w:cs="Calibri Light"/>
          <w:color w:val="000000"/>
          <w:sz w:val="20"/>
          <w:szCs w:val="20"/>
        </w:rPr>
      </w:pPr>
    </w:p>
    <w:p w14:paraId="27CA65C7" w14:textId="42F99DEC" w:rsidR="007A1BC8" w:rsidRDefault="006742EC" w:rsidP="0050266D">
      <w:pPr>
        <w:jc w:val="both"/>
        <w:rPr>
          <w:rFonts w:ascii="Calibri Light" w:hAnsi="Calibri Light" w:cs="Calibri Light"/>
          <w:sz w:val="20"/>
          <w:szCs w:val="20"/>
        </w:rPr>
      </w:pPr>
      <w:r>
        <w:rPr>
          <w:rStyle w:val="bm"/>
          <w:rFonts w:ascii="Calibri Light" w:hAnsi="Calibri Light" w:cs="Calibri Light"/>
          <w:color w:val="000000"/>
          <w:sz w:val="20"/>
          <w:szCs w:val="20"/>
        </w:rPr>
        <w:t xml:space="preserve">As the Company moves forward in its discussions with key </w:t>
      </w:r>
      <w:r w:rsidR="00957901">
        <w:rPr>
          <w:rStyle w:val="bm"/>
          <w:rFonts w:ascii="Calibri Light" w:hAnsi="Calibri Light" w:cs="Calibri Light"/>
          <w:color w:val="000000"/>
          <w:sz w:val="20"/>
          <w:szCs w:val="20"/>
        </w:rPr>
        <w:t>project investo</w:t>
      </w:r>
      <w:r w:rsidR="0050266D">
        <w:rPr>
          <w:rStyle w:val="bm"/>
          <w:rFonts w:ascii="Calibri Light" w:hAnsi="Calibri Light" w:cs="Calibri Light"/>
          <w:color w:val="000000"/>
          <w:sz w:val="20"/>
          <w:szCs w:val="20"/>
        </w:rPr>
        <w:t>rs and stakeholders</w:t>
      </w:r>
      <w:r w:rsidR="00957901">
        <w:rPr>
          <w:rStyle w:val="bm"/>
          <w:rFonts w:ascii="Calibri Light" w:hAnsi="Calibri Light" w:cs="Calibri Light"/>
          <w:color w:val="000000"/>
          <w:sz w:val="20"/>
          <w:szCs w:val="20"/>
        </w:rPr>
        <w:t xml:space="preserve">, announcements relating to the Project’s Final Investment Decision (FID) will be made once those negotiations have been completed and a </w:t>
      </w:r>
      <w:r w:rsidR="000F5211">
        <w:rPr>
          <w:rStyle w:val="bm"/>
          <w:rFonts w:ascii="Calibri Light" w:hAnsi="Calibri Light" w:cs="Calibri Light"/>
          <w:color w:val="000000"/>
          <w:sz w:val="20"/>
          <w:szCs w:val="20"/>
        </w:rPr>
        <w:t>financing package has been formally agreed</w:t>
      </w:r>
      <w:r w:rsidR="0050266D">
        <w:rPr>
          <w:rStyle w:val="bm"/>
          <w:rFonts w:ascii="Calibri Light" w:hAnsi="Calibri Light" w:cs="Calibri Light"/>
          <w:color w:val="000000"/>
          <w:sz w:val="20"/>
          <w:szCs w:val="20"/>
        </w:rPr>
        <w:t xml:space="preserve">.  </w:t>
      </w:r>
    </w:p>
    <w:p w14:paraId="1DDF1465" w14:textId="77777777" w:rsidR="002406EB" w:rsidRPr="008A2021" w:rsidRDefault="002406EB" w:rsidP="002406EB">
      <w:pPr>
        <w:rPr>
          <w:rFonts w:ascii="Calibri Light" w:hAnsi="Calibri Light" w:cs="Calibri Light"/>
          <w:sz w:val="20"/>
          <w:szCs w:val="20"/>
          <w:highlight w:val="yellow"/>
        </w:rPr>
      </w:pPr>
    </w:p>
    <w:p w14:paraId="5DA4DEAB" w14:textId="0E435480" w:rsidR="002406EB" w:rsidRPr="00942104" w:rsidRDefault="002406EB" w:rsidP="00605A5C">
      <w:pPr>
        <w:rPr>
          <w:rFonts w:asciiTheme="minorHAnsi" w:hAnsiTheme="minorHAnsi" w:cstheme="minorHAnsi"/>
          <w:sz w:val="20"/>
          <w:szCs w:val="20"/>
          <w:highlight w:val="yellow"/>
        </w:rPr>
      </w:pPr>
    </w:p>
    <w:p w14:paraId="0E1A9B98" w14:textId="5CC55E1C" w:rsidR="00605A5C" w:rsidRPr="008A2021" w:rsidRDefault="00605A5C" w:rsidP="004A5058">
      <w:pPr>
        <w:spacing w:before="1"/>
        <w:rPr>
          <w:rFonts w:ascii="Calibri Light" w:hAnsi="Calibri Light" w:cs="Calibri Light"/>
          <w:b/>
          <w:sz w:val="20"/>
          <w:szCs w:val="20"/>
        </w:rPr>
      </w:pPr>
      <w:r w:rsidRPr="008A2021">
        <w:rPr>
          <w:rFonts w:ascii="Calibri Light" w:hAnsi="Calibri Light" w:cs="Calibri Light"/>
          <w:b/>
          <w:sz w:val="20"/>
          <w:szCs w:val="20"/>
        </w:rPr>
        <w:t>Financial overview</w:t>
      </w:r>
    </w:p>
    <w:p w14:paraId="1AB831DE" w14:textId="77777777" w:rsidR="00EB2EA1" w:rsidRPr="008A2021" w:rsidRDefault="00EB2EA1" w:rsidP="004A5058">
      <w:pPr>
        <w:spacing w:before="1"/>
        <w:rPr>
          <w:rFonts w:ascii="Calibri Light" w:hAnsi="Calibri Light" w:cs="Calibri Light"/>
          <w:b/>
          <w:sz w:val="20"/>
          <w:szCs w:val="20"/>
        </w:rPr>
      </w:pPr>
    </w:p>
    <w:p w14:paraId="6561F141" w14:textId="0BBD2B31" w:rsidR="00CD705A" w:rsidRPr="008A2021" w:rsidRDefault="00605A5C" w:rsidP="00605A5C">
      <w:pPr>
        <w:pStyle w:val="cx"/>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 xml:space="preserve">For the period ended 31 </w:t>
      </w:r>
      <w:r w:rsidR="00F94BD3" w:rsidRPr="008A2021">
        <w:rPr>
          <w:rFonts w:ascii="Calibri Light" w:hAnsi="Calibri Light" w:cs="Calibri Light"/>
          <w:sz w:val="20"/>
          <w:szCs w:val="20"/>
        </w:rPr>
        <w:t>July</w:t>
      </w:r>
      <w:r w:rsidRPr="008A2021">
        <w:rPr>
          <w:rFonts w:ascii="Calibri Light" w:hAnsi="Calibri Light" w:cs="Calibri Light"/>
          <w:sz w:val="20"/>
          <w:szCs w:val="20"/>
        </w:rPr>
        <w:t xml:space="preserve"> 202</w:t>
      </w:r>
      <w:r w:rsidR="00A0535A" w:rsidRPr="008A2021">
        <w:rPr>
          <w:rFonts w:ascii="Calibri Light" w:hAnsi="Calibri Light" w:cs="Calibri Light"/>
          <w:sz w:val="20"/>
          <w:szCs w:val="20"/>
        </w:rPr>
        <w:t>1</w:t>
      </w:r>
      <w:r w:rsidRPr="008A2021">
        <w:rPr>
          <w:rFonts w:ascii="Calibri Light" w:hAnsi="Calibri Light" w:cs="Calibri Light"/>
          <w:sz w:val="20"/>
          <w:szCs w:val="20"/>
        </w:rPr>
        <w:t>, the Company’s consolidated revenues stood at £</w:t>
      </w:r>
      <w:r w:rsidR="00CE379B" w:rsidRPr="008A2021">
        <w:rPr>
          <w:rFonts w:ascii="Calibri Light" w:hAnsi="Calibri Light" w:cs="Calibri Light"/>
          <w:sz w:val="20"/>
          <w:szCs w:val="20"/>
        </w:rPr>
        <w:t>10</w:t>
      </w:r>
      <w:r w:rsidR="00E1564E" w:rsidRPr="008A2021">
        <w:rPr>
          <w:rFonts w:ascii="Calibri Light" w:hAnsi="Calibri Light" w:cs="Calibri Light"/>
          <w:sz w:val="20"/>
          <w:szCs w:val="20"/>
        </w:rPr>
        <w:t>.1</w:t>
      </w:r>
      <w:r w:rsidR="00CE379B" w:rsidRPr="008A2021">
        <w:rPr>
          <w:rFonts w:ascii="Calibri Light" w:hAnsi="Calibri Light" w:cs="Calibri Light"/>
          <w:sz w:val="20"/>
          <w:szCs w:val="20"/>
        </w:rPr>
        <w:t>8</w:t>
      </w:r>
      <w:r w:rsidR="00E1564E" w:rsidRPr="008A2021">
        <w:rPr>
          <w:rFonts w:ascii="Calibri Light" w:hAnsi="Calibri Light" w:cs="Calibri Light"/>
          <w:sz w:val="20"/>
          <w:szCs w:val="20"/>
        </w:rPr>
        <w:t xml:space="preserve"> million (31 </w:t>
      </w:r>
      <w:r w:rsidR="00E5430D" w:rsidRPr="008A2021">
        <w:rPr>
          <w:rFonts w:ascii="Calibri Light" w:hAnsi="Calibri Light" w:cs="Calibri Light"/>
          <w:sz w:val="20"/>
          <w:szCs w:val="20"/>
        </w:rPr>
        <w:t>J</w:t>
      </w:r>
      <w:r w:rsidR="00CE379B" w:rsidRPr="008A2021">
        <w:rPr>
          <w:rFonts w:ascii="Calibri Light" w:hAnsi="Calibri Light" w:cs="Calibri Light"/>
          <w:sz w:val="20"/>
          <w:szCs w:val="20"/>
        </w:rPr>
        <w:t>ul</w:t>
      </w:r>
      <w:r w:rsidR="00E5430D" w:rsidRPr="008A2021">
        <w:rPr>
          <w:rFonts w:ascii="Calibri Light" w:hAnsi="Calibri Light" w:cs="Calibri Light"/>
          <w:sz w:val="20"/>
          <w:szCs w:val="20"/>
        </w:rPr>
        <w:t>y</w:t>
      </w:r>
      <w:r w:rsidR="00E1564E" w:rsidRPr="008A2021">
        <w:rPr>
          <w:rFonts w:ascii="Calibri Light" w:hAnsi="Calibri Light" w:cs="Calibri Light"/>
          <w:sz w:val="20"/>
          <w:szCs w:val="20"/>
        </w:rPr>
        <w:t xml:space="preserve"> 2020: £</w:t>
      </w:r>
      <w:r w:rsidR="00CE379B" w:rsidRPr="008A2021">
        <w:rPr>
          <w:rFonts w:ascii="Calibri Light" w:hAnsi="Calibri Light" w:cs="Calibri Light"/>
          <w:sz w:val="20"/>
          <w:szCs w:val="20"/>
        </w:rPr>
        <w:t>1.48</w:t>
      </w:r>
      <w:r w:rsidR="00D62B94" w:rsidRPr="008A2021">
        <w:rPr>
          <w:rFonts w:ascii="Calibri Light" w:hAnsi="Calibri Light" w:cs="Calibri Light"/>
          <w:sz w:val="20"/>
          <w:szCs w:val="20"/>
        </w:rPr>
        <w:t xml:space="preserve"> million) representing a </w:t>
      </w:r>
      <w:proofErr w:type="gramStart"/>
      <w:r w:rsidR="004019AB">
        <w:rPr>
          <w:rFonts w:ascii="Calibri Light" w:hAnsi="Calibri Light" w:cs="Calibri Light"/>
          <w:sz w:val="20"/>
          <w:szCs w:val="20"/>
        </w:rPr>
        <w:t>seven fold</w:t>
      </w:r>
      <w:proofErr w:type="gramEnd"/>
      <w:r w:rsidR="00D62B94" w:rsidRPr="008A2021">
        <w:rPr>
          <w:rFonts w:ascii="Calibri Light" w:hAnsi="Calibri Light" w:cs="Calibri Light"/>
          <w:sz w:val="20"/>
          <w:szCs w:val="20"/>
        </w:rPr>
        <w:t xml:space="preserve"> increase from the comparative period last year</w:t>
      </w:r>
      <w:r w:rsidR="000B27EF" w:rsidRPr="008A2021">
        <w:rPr>
          <w:rFonts w:ascii="Calibri Light" w:hAnsi="Calibri Light" w:cs="Calibri Light"/>
          <w:sz w:val="20"/>
          <w:szCs w:val="20"/>
        </w:rPr>
        <w:t xml:space="preserve">. </w:t>
      </w:r>
      <w:r w:rsidR="004C5EF0" w:rsidRPr="008A2021">
        <w:rPr>
          <w:rFonts w:ascii="Calibri Light" w:hAnsi="Calibri Light" w:cs="Calibri Light"/>
          <w:sz w:val="20"/>
          <w:szCs w:val="20"/>
        </w:rPr>
        <w:t xml:space="preserve"> </w:t>
      </w:r>
      <w:r w:rsidR="00AD3530" w:rsidRPr="008A2021">
        <w:rPr>
          <w:rFonts w:ascii="Calibri Light" w:hAnsi="Calibri Light" w:cs="Calibri Light"/>
          <w:sz w:val="20"/>
          <w:szCs w:val="20"/>
        </w:rPr>
        <w:t>The g</w:t>
      </w:r>
      <w:r w:rsidR="00880B52" w:rsidRPr="008A2021">
        <w:rPr>
          <w:rFonts w:ascii="Calibri Light" w:hAnsi="Calibri Light" w:cs="Calibri Light"/>
          <w:sz w:val="20"/>
          <w:szCs w:val="20"/>
        </w:rPr>
        <w:t xml:space="preserve">ross </w:t>
      </w:r>
      <w:r w:rsidR="00E11DFE">
        <w:rPr>
          <w:rFonts w:ascii="Calibri Light" w:hAnsi="Calibri Light" w:cs="Calibri Light"/>
          <w:sz w:val="20"/>
          <w:szCs w:val="20"/>
        </w:rPr>
        <w:t>profit</w:t>
      </w:r>
      <w:r w:rsidR="00880B52" w:rsidRPr="008A2021">
        <w:rPr>
          <w:rFonts w:ascii="Calibri Light" w:hAnsi="Calibri Light" w:cs="Calibri Light"/>
          <w:sz w:val="20"/>
          <w:szCs w:val="20"/>
        </w:rPr>
        <w:t xml:space="preserve"> for the period stood at </w:t>
      </w:r>
      <w:r w:rsidR="00BD3924" w:rsidRPr="008A2021">
        <w:rPr>
          <w:rFonts w:ascii="Calibri Light" w:hAnsi="Calibri Light" w:cs="Calibri Light"/>
          <w:sz w:val="20"/>
          <w:szCs w:val="20"/>
        </w:rPr>
        <w:t>£</w:t>
      </w:r>
      <w:r w:rsidR="00F82845" w:rsidRPr="008A2021">
        <w:rPr>
          <w:rFonts w:ascii="Calibri Light" w:hAnsi="Calibri Light" w:cs="Calibri Light"/>
          <w:sz w:val="20"/>
          <w:szCs w:val="20"/>
        </w:rPr>
        <w:t>2.46</w:t>
      </w:r>
      <w:r w:rsidR="00BD3924" w:rsidRPr="008A2021">
        <w:rPr>
          <w:rFonts w:ascii="Calibri Light" w:hAnsi="Calibri Light" w:cs="Calibri Light"/>
          <w:sz w:val="20"/>
          <w:szCs w:val="20"/>
        </w:rPr>
        <w:t xml:space="preserve"> million (31 </w:t>
      </w:r>
      <w:r w:rsidR="00E5430D" w:rsidRPr="008A2021">
        <w:rPr>
          <w:rFonts w:ascii="Calibri Light" w:hAnsi="Calibri Light" w:cs="Calibri Light"/>
          <w:sz w:val="20"/>
          <w:szCs w:val="20"/>
        </w:rPr>
        <w:t>J</w:t>
      </w:r>
      <w:r w:rsidR="00F82845" w:rsidRPr="008A2021">
        <w:rPr>
          <w:rFonts w:ascii="Calibri Light" w:hAnsi="Calibri Light" w:cs="Calibri Light"/>
          <w:sz w:val="20"/>
          <w:szCs w:val="20"/>
        </w:rPr>
        <w:t>ul</w:t>
      </w:r>
      <w:r w:rsidR="00E5430D" w:rsidRPr="008A2021">
        <w:rPr>
          <w:rFonts w:ascii="Calibri Light" w:hAnsi="Calibri Light" w:cs="Calibri Light"/>
          <w:sz w:val="20"/>
          <w:szCs w:val="20"/>
        </w:rPr>
        <w:t>y</w:t>
      </w:r>
      <w:r w:rsidR="00BD3924" w:rsidRPr="008A2021">
        <w:rPr>
          <w:rFonts w:ascii="Calibri Light" w:hAnsi="Calibri Light" w:cs="Calibri Light"/>
          <w:sz w:val="20"/>
          <w:szCs w:val="20"/>
        </w:rPr>
        <w:t xml:space="preserve"> 2020: £</w:t>
      </w:r>
      <w:r w:rsidR="002274B7">
        <w:rPr>
          <w:rFonts w:ascii="Calibri Light" w:hAnsi="Calibri Light" w:cs="Calibri Light"/>
          <w:sz w:val="20"/>
          <w:szCs w:val="20"/>
        </w:rPr>
        <w:t>0.30 million</w:t>
      </w:r>
      <w:r w:rsidR="00BD3924" w:rsidRPr="008A2021">
        <w:rPr>
          <w:rFonts w:ascii="Calibri Light" w:hAnsi="Calibri Light" w:cs="Calibri Light"/>
          <w:sz w:val="20"/>
          <w:szCs w:val="20"/>
        </w:rPr>
        <w:t xml:space="preserve">) representing a gross margin percentage of </w:t>
      </w:r>
      <w:r w:rsidR="00B95263" w:rsidRPr="008A2021">
        <w:rPr>
          <w:rFonts w:ascii="Calibri Light" w:hAnsi="Calibri Light" w:cs="Calibri Light"/>
          <w:sz w:val="20"/>
          <w:szCs w:val="20"/>
        </w:rPr>
        <w:t>2</w:t>
      </w:r>
      <w:r w:rsidR="00F82845" w:rsidRPr="008A2021">
        <w:rPr>
          <w:rFonts w:ascii="Calibri Light" w:hAnsi="Calibri Light" w:cs="Calibri Light"/>
          <w:sz w:val="20"/>
          <w:szCs w:val="20"/>
        </w:rPr>
        <w:t>4</w:t>
      </w:r>
      <w:r w:rsidR="00B95263" w:rsidRPr="008A2021">
        <w:rPr>
          <w:rFonts w:ascii="Calibri Light" w:hAnsi="Calibri Light" w:cs="Calibri Light"/>
          <w:sz w:val="20"/>
          <w:szCs w:val="20"/>
        </w:rPr>
        <w:t xml:space="preserve">%. </w:t>
      </w:r>
      <w:r w:rsidR="004E7253" w:rsidRPr="008A2021">
        <w:rPr>
          <w:rFonts w:ascii="Calibri Light" w:hAnsi="Calibri Light" w:cs="Calibri Light"/>
          <w:sz w:val="20"/>
          <w:szCs w:val="20"/>
        </w:rPr>
        <w:t>M</w:t>
      </w:r>
      <w:r w:rsidR="00B95263" w:rsidRPr="008A2021">
        <w:rPr>
          <w:rFonts w:ascii="Calibri Light" w:hAnsi="Calibri Light" w:cs="Calibri Light"/>
          <w:sz w:val="20"/>
          <w:szCs w:val="20"/>
        </w:rPr>
        <w:t>argins are</w:t>
      </w:r>
      <w:r w:rsidR="007B7CE4">
        <w:rPr>
          <w:rFonts w:ascii="Calibri Light" w:hAnsi="Calibri Light" w:cs="Calibri Light"/>
          <w:sz w:val="20"/>
          <w:szCs w:val="20"/>
        </w:rPr>
        <w:t>, thus,</w:t>
      </w:r>
      <w:r w:rsidR="00B95263" w:rsidRPr="008A2021">
        <w:rPr>
          <w:rFonts w:ascii="Calibri Light" w:hAnsi="Calibri Light" w:cs="Calibri Light"/>
          <w:sz w:val="20"/>
          <w:szCs w:val="20"/>
        </w:rPr>
        <w:t xml:space="preserve"> </w:t>
      </w:r>
      <w:r w:rsidR="00CE6702" w:rsidRPr="008A2021">
        <w:rPr>
          <w:rFonts w:ascii="Calibri Light" w:hAnsi="Calibri Light" w:cs="Calibri Light"/>
          <w:sz w:val="20"/>
          <w:szCs w:val="20"/>
        </w:rPr>
        <w:t>broadly</w:t>
      </w:r>
      <w:r w:rsidR="00B95263" w:rsidRPr="008A2021">
        <w:rPr>
          <w:rFonts w:ascii="Calibri Light" w:hAnsi="Calibri Light" w:cs="Calibri Light"/>
          <w:sz w:val="20"/>
          <w:szCs w:val="20"/>
        </w:rPr>
        <w:t xml:space="preserve"> in line with our expectations</w:t>
      </w:r>
      <w:r w:rsidR="0099322A">
        <w:rPr>
          <w:rFonts w:ascii="Calibri Light" w:hAnsi="Calibri Light" w:cs="Calibri Light"/>
          <w:sz w:val="20"/>
          <w:szCs w:val="20"/>
        </w:rPr>
        <w:t>. As</w:t>
      </w:r>
      <w:r w:rsidR="0068544F" w:rsidRPr="008A2021">
        <w:rPr>
          <w:rFonts w:ascii="Calibri Light" w:hAnsi="Calibri Light" w:cs="Calibri Light"/>
          <w:sz w:val="20"/>
          <w:szCs w:val="20"/>
        </w:rPr>
        <w:t xml:space="preserve"> we move into the next phase of the Company’s growth</w:t>
      </w:r>
      <w:r w:rsidR="00097C4F" w:rsidRPr="008A2021">
        <w:rPr>
          <w:rFonts w:ascii="Calibri Light" w:hAnsi="Calibri Light" w:cs="Calibri Light"/>
          <w:sz w:val="20"/>
          <w:szCs w:val="20"/>
        </w:rPr>
        <w:t xml:space="preserve"> cycle, with the onset of large fabrication contracts, we expect to develop an optimum mix </w:t>
      </w:r>
      <w:r w:rsidR="00C15B7F" w:rsidRPr="008A2021">
        <w:rPr>
          <w:rFonts w:ascii="Calibri Light" w:hAnsi="Calibri Light" w:cs="Calibri Light"/>
          <w:sz w:val="20"/>
          <w:szCs w:val="20"/>
        </w:rPr>
        <w:t xml:space="preserve">of contracts within the portfolio to </w:t>
      </w:r>
      <w:r w:rsidR="00E91B26">
        <w:rPr>
          <w:rFonts w:ascii="Calibri Light" w:hAnsi="Calibri Light" w:cs="Calibri Light"/>
          <w:sz w:val="20"/>
          <w:szCs w:val="20"/>
        </w:rPr>
        <w:t>ensure</w:t>
      </w:r>
      <w:r w:rsidR="00C15B7F" w:rsidRPr="008A2021">
        <w:rPr>
          <w:rFonts w:ascii="Calibri Light" w:hAnsi="Calibri Light" w:cs="Calibri Light"/>
          <w:sz w:val="20"/>
          <w:szCs w:val="20"/>
        </w:rPr>
        <w:t xml:space="preserve"> gross margins</w:t>
      </w:r>
      <w:r w:rsidR="00891D29">
        <w:rPr>
          <w:rFonts w:ascii="Calibri Light" w:hAnsi="Calibri Light" w:cs="Calibri Light"/>
          <w:sz w:val="20"/>
          <w:szCs w:val="20"/>
        </w:rPr>
        <w:t xml:space="preserve"> achieve our desired level</w:t>
      </w:r>
      <w:r w:rsidR="00C15B7F" w:rsidRPr="008A2021">
        <w:rPr>
          <w:rFonts w:ascii="Calibri Light" w:hAnsi="Calibri Light" w:cs="Calibri Light"/>
          <w:sz w:val="20"/>
          <w:szCs w:val="20"/>
        </w:rPr>
        <w:t xml:space="preserve">. </w:t>
      </w:r>
      <w:r w:rsidR="00C43EDE" w:rsidRPr="008A2021">
        <w:rPr>
          <w:rFonts w:ascii="Calibri Light" w:hAnsi="Calibri Light" w:cs="Calibri Light"/>
          <w:sz w:val="20"/>
          <w:szCs w:val="20"/>
        </w:rPr>
        <w:t>Gross margins on fabrication contracts tend to be lower than those of vessel repairs</w:t>
      </w:r>
      <w:r w:rsidR="00AB4791">
        <w:rPr>
          <w:rFonts w:ascii="Calibri Light" w:hAnsi="Calibri Light" w:cs="Calibri Light"/>
          <w:sz w:val="20"/>
          <w:szCs w:val="20"/>
        </w:rPr>
        <w:t xml:space="preserve"> (vessel repairs tend to attract highly specialised engineering skills </w:t>
      </w:r>
      <w:r w:rsidR="004A2315">
        <w:rPr>
          <w:rFonts w:ascii="Calibri Light" w:hAnsi="Calibri Light" w:cs="Calibri Light"/>
          <w:sz w:val="20"/>
          <w:szCs w:val="20"/>
        </w:rPr>
        <w:t>on which margins tend to be higher)</w:t>
      </w:r>
      <w:r w:rsidR="002225D5">
        <w:rPr>
          <w:rFonts w:ascii="Calibri Light" w:hAnsi="Calibri Light" w:cs="Calibri Light"/>
          <w:sz w:val="20"/>
          <w:szCs w:val="20"/>
        </w:rPr>
        <w:t xml:space="preserve"> </w:t>
      </w:r>
      <w:r w:rsidR="002274B7">
        <w:rPr>
          <w:rFonts w:ascii="Calibri Light" w:hAnsi="Calibri Light" w:cs="Calibri Light"/>
          <w:sz w:val="20"/>
          <w:szCs w:val="20"/>
        </w:rPr>
        <w:t>a</w:t>
      </w:r>
      <w:r w:rsidR="002225D5">
        <w:rPr>
          <w:rFonts w:ascii="Calibri Light" w:hAnsi="Calibri Light" w:cs="Calibri Light"/>
          <w:sz w:val="20"/>
          <w:szCs w:val="20"/>
        </w:rPr>
        <w:t xml:space="preserve">nd therefore, </w:t>
      </w:r>
      <w:r w:rsidR="002274B7">
        <w:rPr>
          <w:rFonts w:ascii="Calibri Light" w:hAnsi="Calibri Light" w:cs="Calibri Light"/>
          <w:sz w:val="20"/>
          <w:szCs w:val="20"/>
        </w:rPr>
        <w:t>w</w:t>
      </w:r>
      <w:r w:rsidR="00285343" w:rsidRPr="008A2021">
        <w:rPr>
          <w:rFonts w:ascii="Calibri Light" w:hAnsi="Calibri Light" w:cs="Calibri Light"/>
          <w:sz w:val="20"/>
          <w:szCs w:val="20"/>
        </w:rPr>
        <w:t xml:space="preserve">e expect to see a slight dip in the </w:t>
      </w:r>
      <w:r w:rsidR="00C8466A" w:rsidRPr="008A2021">
        <w:rPr>
          <w:rFonts w:ascii="Calibri Light" w:hAnsi="Calibri Light" w:cs="Calibri Light"/>
          <w:sz w:val="20"/>
          <w:szCs w:val="20"/>
        </w:rPr>
        <w:t xml:space="preserve">consolidated </w:t>
      </w:r>
      <w:r w:rsidR="00285343" w:rsidRPr="008A2021">
        <w:rPr>
          <w:rFonts w:ascii="Calibri Light" w:hAnsi="Calibri Light" w:cs="Calibri Light"/>
          <w:sz w:val="20"/>
          <w:szCs w:val="20"/>
        </w:rPr>
        <w:t>gross margins for the</w:t>
      </w:r>
      <w:r w:rsidR="004F2C1D">
        <w:rPr>
          <w:rFonts w:ascii="Calibri Light" w:hAnsi="Calibri Light" w:cs="Calibri Light"/>
          <w:sz w:val="20"/>
          <w:szCs w:val="20"/>
        </w:rPr>
        <w:t xml:space="preserve"> 17-month period ending </w:t>
      </w:r>
      <w:r w:rsidR="00C8466A" w:rsidRPr="008A2021">
        <w:rPr>
          <w:rFonts w:ascii="Calibri Light" w:hAnsi="Calibri Light" w:cs="Calibri Light"/>
          <w:sz w:val="20"/>
          <w:szCs w:val="20"/>
        </w:rPr>
        <w:t>31 December 2021</w:t>
      </w:r>
      <w:r w:rsidR="00285343" w:rsidRPr="008A2021">
        <w:rPr>
          <w:rFonts w:ascii="Calibri Light" w:hAnsi="Calibri Light" w:cs="Calibri Light"/>
          <w:sz w:val="20"/>
          <w:szCs w:val="20"/>
        </w:rPr>
        <w:t xml:space="preserve"> </w:t>
      </w:r>
      <w:r w:rsidR="00C8466A" w:rsidRPr="008A2021">
        <w:rPr>
          <w:rFonts w:ascii="Calibri Light" w:hAnsi="Calibri Light" w:cs="Calibri Light"/>
          <w:sz w:val="20"/>
          <w:szCs w:val="20"/>
        </w:rPr>
        <w:t xml:space="preserve">with the commencement of the Saipem fabrication contract in Methil. </w:t>
      </w:r>
      <w:r w:rsidR="00997E10" w:rsidRPr="008A2021">
        <w:rPr>
          <w:rFonts w:ascii="Calibri Light" w:hAnsi="Calibri Light" w:cs="Calibri Light"/>
          <w:sz w:val="20"/>
          <w:szCs w:val="20"/>
        </w:rPr>
        <w:t xml:space="preserve">As we develop </w:t>
      </w:r>
      <w:r w:rsidR="00053684" w:rsidRPr="008A2021">
        <w:rPr>
          <w:rFonts w:ascii="Calibri Light" w:hAnsi="Calibri Light" w:cs="Calibri Light"/>
          <w:sz w:val="20"/>
          <w:szCs w:val="20"/>
        </w:rPr>
        <w:t>an</w:t>
      </w:r>
      <w:r w:rsidR="00997E10" w:rsidRPr="008A2021">
        <w:rPr>
          <w:rFonts w:ascii="Calibri Light" w:hAnsi="Calibri Light" w:cs="Calibri Light"/>
          <w:sz w:val="20"/>
          <w:szCs w:val="20"/>
        </w:rPr>
        <w:t xml:space="preserve"> optimum blend of work across the </w:t>
      </w:r>
      <w:r w:rsidR="00053684" w:rsidRPr="008A2021">
        <w:rPr>
          <w:rFonts w:ascii="Calibri Light" w:hAnsi="Calibri Light" w:cs="Calibri Light"/>
          <w:sz w:val="20"/>
          <w:szCs w:val="20"/>
        </w:rPr>
        <w:t xml:space="preserve">four sites, we expect to </w:t>
      </w:r>
      <w:r w:rsidR="00AD2B07" w:rsidRPr="008A2021">
        <w:rPr>
          <w:rFonts w:ascii="Calibri Light" w:hAnsi="Calibri Light" w:cs="Calibri Light"/>
          <w:sz w:val="20"/>
          <w:szCs w:val="20"/>
        </w:rPr>
        <w:t>maintain</w:t>
      </w:r>
      <w:r w:rsidR="00723E89" w:rsidRPr="008A2021">
        <w:rPr>
          <w:rFonts w:ascii="Calibri Light" w:hAnsi="Calibri Light" w:cs="Calibri Light"/>
          <w:sz w:val="20"/>
          <w:szCs w:val="20"/>
        </w:rPr>
        <w:t xml:space="preserve"> our target of </w:t>
      </w:r>
      <w:r w:rsidR="002274B7">
        <w:rPr>
          <w:rFonts w:ascii="Calibri Light" w:hAnsi="Calibri Light" w:cs="Calibri Light"/>
          <w:sz w:val="20"/>
          <w:szCs w:val="20"/>
        </w:rPr>
        <w:t xml:space="preserve">approximately </w:t>
      </w:r>
      <w:r w:rsidR="00723E89" w:rsidRPr="008A2021">
        <w:rPr>
          <w:rFonts w:ascii="Calibri Light" w:hAnsi="Calibri Light" w:cs="Calibri Light"/>
          <w:sz w:val="20"/>
          <w:szCs w:val="20"/>
        </w:rPr>
        <w:t>25%.</w:t>
      </w:r>
      <w:r w:rsidR="00545D4F">
        <w:rPr>
          <w:rFonts w:ascii="Calibri Light" w:hAnsi="Calibri Light" w:cs="Calibri Light"/>
          <w:sz w:val="20"/>
          <w:szCs w:val="20"/>
        </w:rPr>
        <w:t xml:space="preserve"> The</w:t>
      </w:r>
      <w:r w:rsidR="00723E89" w:rsidRPr="008A2021">
        <w:rPr>
          <w:rFonts w:ascii="Calibri Light" w:hAnsi="Calibri Light" w:cs="Calibri Light"/>
          <w:sz w:val="20"/>
          <w:szCs w:val="20"/>
        </w:rPr>
        <w:t xml:space="preserve"> </w:t>
      </w:r>
      <w:r w:rsidR="00545D4F">
        <w:rPr>
          <w:rFonts w:ascii="Calibri Light" w:hAnsi="Calibri Light" w:cs="Calibri Light"/>
          <w:sz w:val="20"/>
          <w:szCs w:val="20"/>
        </w:rPr>
        <w:t>o</w:t>
      </w:r>
      <w:r w:rsidR="00E5430D" w:rsidRPr="008A2021">
        <w:rPr>
          <w:rFonts w:ascii="Calibri Light" w:hAnsi="Calibri Light" w:cs="Calibri Light"/>
          <w:sz w:val="20"/>
          <w:szCs w:val="20"/>
        </w:rPr>
        <w:t>perating loss</w:t>
      </w:r>
      <w:r w:rsidR="00DB6A7A">
        <w:rPr>
          <w:rFonts w:ascii="Calibri Light" w:hAnsi="Calibri Light" w:cs="Calibri Light"/>
          <w:sz w:val="20"/>
          <w:szCs w:val="20"/>
        </w:rPr>
        <w:t xml:space="preserve"> including depreciation and amortisation</w:t>
      </w:r>
      <w:r w:rsidR="00E5430D" w:rsidRPr="008A2021">
        <w:rPr>
          <w:rFonts w:ascii="Calibri Light" w:hAnsi="Calibri Light" w:cs="Calibri Light"/>
          <w:sz w:val="20"/>
          <w:szCs w:val="20"/>
        </w:rPr>
        <w:t xml:space="preserve"> for the period stood at £</w:t>
      </w:r>
      <w:r w:rsidR="00A92BDF">
        <w:rPr>
          <w:rFonts w:ascii="Calibri Light" w:hAnsi="Calibri Light" w:cs="Calibri Light"/>
          <w:sz w:val="20"/>
          <w:szCs w:val="20"/>
        </w:rPr>
        <w:t>14.</w:t>
      </w:r>
      <w:r w:rsidR="000E4FFF">
        <w:rPr>
          <w:rFonts w:ascii="Calibri Light" w:hAnsi="Calibri Light" w:cs="Calibri Light"/>
          <w:sz w:val="20"/>
          <w:szCs w:val="20"/>
        </w:rPr>
        <w:t>68</w:t>
      </w:r>
      <w:r w:rsidR="00E5430D" w:rsidRPr="008A2021">
        <w:rPr>
          <w:rFonts w:ascii="Calibri Light" w:hAnsi="Calibri Light" w:cs="Calibri Light"/>
          <w:sz w:val="20"/>
          <w:szCs w:val="20"/>
        </w:rPr>
        <w:t xml:space="preserve"> million (31 J</w:t>
      </w:r>
      <w:r w:rsidR="009E3A36" w:rsidRPr="008A2021">
        <w:rPr>
          <w:rFonts w:ascii="Calibri Light" w:hAnsi="Calibri Light" w:cs="Calibri Light"/>
          <w:sz w:val="20"/>
          <w:szCs w:val="20"/>
        </w:rPr>
        <w:t>ul</w:t>
      </w:r>
      <w:r w:rsidR="00E5430D" w:rsidRPr="008A2021">
        <w:rPr>
          <w:rFonts w:ascii="Calibri Light" w:hAnsi="Calibri Light" w:cs="Calibri Light"/>
          <w:sz w:val="20"/>
          <w:szCs w:val="20"/>
        </w:rPr>
        <w:t>y 2020: £</w:t>
      </w:r>
      <w:r w:rsidR="00D77208" w:rsidRPr="008A2021">
        <w:rPr>
          <w:rFonts w:ascii="Calibri Light" w:hAnsi="Calibri Light" w:cs="Calibri Light"/>
          <w:sz w:val="20"/>
          <w:szCs w:val="20"/>
        </w:rPr>
        <w:t>9.18</w:t>
      </w:r>
      <w:r w:rsidR="002C05E7" w:rsidRPr="008A2021">
        <w:rPr>
          <w:rFonts w:ascii="Calibri Light" w:hAnsi="Calibri Light" w:cs="Calibri Light"/>
          <w:sz w:val="20"/>
          <w:szCs w:val="20"/>
        </w:rPr>
        <w:t xml:space="preserve"> million). Th</w:t>
      </w:r>
      <w:r w:rsidR="00AD3530" w:rsidRPr="008A2021">
        <w:rPr>
          <w:rFonts w:ascii="Calibri Light" w:hAnsi="Calibri Light" w:cs="Calibri Light"/>
          <w:sz w:val="20"/>
          <w:szCs w:val="20"/>
        </w:rPr>
        <w:t>is</w:t>
      </w:r>
      <w:r w:rsidR="002C05E7" w:rsidRPr="008A2021">
        <w:rPr>
          <w:rFonts w:ascii="Calibri Light" w:hAnsi="Calibri Light" w:cs="Calibri Light"/>
          <w:sz w:val="20"/>
          <w:szCs w:val="20"/>
        </w:rPr>
        <w:t xml:space="preserve"> increased loss vis-à-vis the same period last year </w:t>
      </w:r>
      <w:r w:rsidR="00FD1C29">
        <w:rPr>
          <w:rFonts w:ascii="Calibri Light" w:hAnsi="Calibri Light" w:cs="Calibri Light"/>
          <w:sz w:val="20"/>
          <w:szCs w:val="20"/>
        </w:rPr>
        <w:t>reflects</w:t>
      </w:r>
      <w:r w:rsidR="002C05E7" w:rsidRPr="008A2021">
        <w:rPr>
          <w:rFonts w:ascii="Calibri Light" w:hAnsi="Calibri Light" w:cs="Calibri Light"/>
          <w:sz w:val="20"/>
          <w:szCs w:val="20"/>
        </w:rPr>
        <w:t xml:space="preserve"> </w:t>
      </w:r>
      <w:r w:rsidR="00C81A67" w:rsidRPr="008A2021">
        <w:rPr>
          <w:rFonts w:ascii="Calibri Light" w:hAnsi="Calibri Light" w:cs="Calibri Light"/>
          <w:sz w:val="20"/>
          <w:szCs w:val="20"/>
        </w:rPr>
        <w:t xml:space="preserve">an increase in the number of personnel and overall overheads, given that, for the period, we had </w:t>
      </w:r>
      <w:r w:rsidR="009F064E" w:rsidRPr="008A2021">
        <w:rPr>
          <w:rFonts w:ascii="Calibri Light" w:hAnsi="Calibri Light" w:cs="Calibri Light"/>
          <w:sz w:val="20"/>
          <w:szCs w:val="20"/>
        </w:rPr>
        <w:t>five</w:t>
      </w:r>
      <w:r w:rsidR="00C81A67" w:rsidRPr="008A2021">
        <w:rPr>
          <w:rFonts w:ascii="Calibri Light" w:hAnsi="Calibri Light" w:cs="Calibri Light"/>
          <w:sz w:val="20"/>
          <w:szCs w:val="20"/>
        </w:rPr>
        <w:t xml:space="preserve"> asset</w:t>
      </w:r>
      <w:r w:rsidR="006A12CD">
        <w:rPr>
          <w:rFonts w:ascii="Calibri Light" w:hAnsi="Calibri Light" w:cs="Calibri Light"/>
          <w:sz w:val="20"/>
          <w:szCs w:val="20"/>
        </w:rPr>
        <w:t xml:space="preserve">s </w:t>
      </w:r>
      <w:r w:rsidR="00CD705A" w:rsidRPr="008A2021">
        <w:rPr>
          <w:rFonts w:ascii="Calibri Light" w:hAnsi="Calibri Light" w:cs="Calibri Light"/>
          <w:sz w:val="20"/>
          <w:szCs w:val="20"/>
        </w:rPr>
        <w:t xml:space="preserve">to </w:t>
      </w:r>
      <w:r w:rsidR="00466BC0">
        <w:rPr>
          <w:rFonts w:ascii="Calibri Light" w:hAnsi="Calibri Light" w:cs="Calibri Light"/>
          <w:sz w:val="20"/>
          <w:szCs w:val="20"/>
        </w:rPr>
        <w:t>service</w:t>
      </w:r>
      <w:r w:rsidR="00370739">
        <w:rPr>
          <w:rFonts w:ascii="Calibri Light" w:hAnsi="Calibri Light" w:cs="Calibri Light"/>
          <w:sz w:val="20"/>
          <w:szCs w:val="20"/>
        </w:rPr>
        <w:t xml:space="preserve"> (</w:t>
      </w:r>
      <w:r w:rsidR="00CD705A" w:rsidRPr="008A2021">
        <w:rPr>
          <w:rFonts w:ascii="Calibri Light" w:hAnsi="Calibri Light" w:cs="Calibri Light"/>
          <w:sz w:val="20"/>
          <w:szCs w:val="20"/>
        </w:rPr>
        <w:t>Belfast, Appledore</w:t>
      </w:r>
      <w:r w:rsidR="009F064E" w:rsidRPr="008A2021">
        <w:rPr>
          <w:rFonts w:ascii="Calibri Light" w:hAnsi="Calibri Light" w:cs="Calibri Light"/>
          <w:sz w:val="20"/>
          <w:szCs w:val="20"/>
        </w:rPr>
        <w:t xml:space="preserve">, Methil, </w:t>
      </w:r>
      <w:proofErr w:type="spellStart"/>
      <w:r w:rsidR="009F064E" w:rsidRPr="008A2021">
        <w:rPr>
          <w:rFonts w:ascii="Calibri Light" w:hAnsi="Calibri Light" w:cs="Calibri Light"/>
          <w:sz w:val="20"/>
          <w:szCs w:val="20"/>
        </w:rPr>
        <w:t>Arnish</w:t>
      </w:r>
      <w:proofErr w:type="spellEnd"/>
      <w:r w:rsidR="00CD705A" w:rsidRPr="008A2021">
        <w:rPr>
          <w:rFonts w:ascii="Calibri Light" w:hAnsi="Calibri Light" w:cs="Calibri Light"/>
          <w:sz w:val="20"/>
          <w:szCs w:val="20"/>
        </w:rPr>
        <w:t xml:space="preserve"> and London</w:t>
      </w:r>
      <w:r w:rsidR="00370739">
        <w:rPr>
          <w:rFonts w:ascii="Calibri Light" w:hAnsi="Calibri Light" w:cs="Calibri Light"/>
          <w:sz w:val="20"/>
          <w:szCs w:val="20"/>
        </w:rPr>
        <w:t>)</w:t>
      </w:r>
      <w:r w:rsidR="00CD705A" w:rsidRPr="008A2021">
        <w:rPr>
          <w:rFonts w:ascii="Calibri Light" w:hAnsi="Calibri Light" w:cs="Calibri Light"/>
          <w:sz w:val="20"/>
          <w:szCs w:val="20"/>
        </w:rPr>
        <w:t xml:space="preserve">. </w:t>
      </w:r>
      <w:r w:rsidR="00BA3BA2" w:rsidRPr="008A2021">
        <w:rPr>
          <w:rFonts w:ascii="Calibri Light" w:hAnsi="Calibri Light" w:cs="Calibri Light"/>
          <w:sz w:val="20"/>
          <w:szCs w:val="20"/>
        </w:rPr>
        <w:t xml:space="preserve">Operating losses </w:t>
      </w:r>
      <w:r w:rsidR="00706DB2" w:rsidRPr="008A2021">
        <w:rPr>
          <w:rFonts w:ascii="Calibri Light" w:hAnsi="Calibri Light" w:cs="Calibri Light"/>
          <w:sz w:val="20"/>
          <w:szCs w:val="20"/>
        </w:rPr>
        <w:t xml:space="preserve">included increased </w:t>
      </w:r>
      <w:r w:rsidR="00992C43" w:rsidRPr="008A2021">
        <w:rPr>
          <w:rFonts w:ascii="Calibri Light" w:hAnsi="Calibri Light" w:cs="Calibri Light"/>
          <w:sz w:val="20"/>
          <w:szCs w:val="20"/>
        </w:rPr>
        <w:t xml:space="preserve">non-capitalised insurance, IT, recruitment, legal and asset maintenance costs </w:t>
      </w:r>
      <w:r w:rsidR="00466BC0">
        <w:rPr>
          <w:rFonts w:ascii="Calibri Light" w:hAnsi="Calibri Light" w:cs="Calibri Light"/>
          <w:sz w:val="20"/>
          <w:szCs w:val="20"/>
        </w:rPr>
        <w:t>on</w:t>
      </w:r>
      <w:r w:rsidR="00BA7B80" w:rsidRPr="008A2021">
        <w:rPr>
          <w:rFonts w:ascii="Calibri Light" w:hAnsi="Calibri Light" w:cs="Calibri Light"/>
          <w:sz w:val="20"/>
          <w:szCs w:val="20"/>
        </w:rPr>
        <w:t xml:space="preserve"> a much larger asset base </w:t>
      </w:r>
      <w:r w:rsidR="00153915">
        <w:rPr>
          <w:rFonts w:ascii="Calibri Light" w:hAnsi="Calibri Light" w:cs="Calibri Light"/>
          <w:sz w:val="20"/>
          <w:szCs w:val="20"/>
        </w:rPr>
        <w:t>relative to</w:t>
      </w:r>
      <w:r w:rsidR="00BA7B80" w:rsidRPr="008A2021">
        <w:rPr>
          <w:rFonts w:ascii="Calibri Light" w:hAnsi="Calibri Light" w:cs="Calibri Light"/>
          <w:sz w:val="20"/>
          <w:szCs w:val="20"/>
        </w:rPr>
        <w:t xml:space="preserve"> the comparative period.</w:t>
      </w:r>
      <w:r w:rsidR="000274A8" w:rsidRPr="008A2021">
        <w:rPr>
          <w:rFonts w:ascii="Calibri Light" w:hAnsi="Calibri Light" w:cs="Calibri Light"/>
          <w:sz w:val="20"/>
          <w:szCs w:val="20"/>
        </w:rPr>
        <w:t xml:space="preserve"> As at the period end date, the Group now has the largest fabrication footprint in the country, two of the larges</w:t>
      </w:r>
      <w:r w:rsidR="00DB555C" w:rsidRPr="008A2021">
        <w:rPr>
          <w:rFonts w:ascii="Calibri Light" w:hAnsi="Calibri Light" w:cs="Calibri Light"/>
          <w:sz w:val="20"/>
          <w:szCs w:val="20"/>
        </w:rPr>
        <w:t>t</w:t>
      </w:r>
      <w:r w:rsidR="000274A8" w:rsidRPr="008A2021">
        <w:rPr>
          <w:rFonts w:ascii="Calibri Light" w:hAnsi="Calibri Light" w:cs="Calibri Light"/>
          <w:sz w:val="20"/>
          <w:szCs w:val="20"/>
        </w:rPr>
        <w:t xml:space="preserve"> dry docks in Europe and two of the </w:t>
      </w:r>
      <w:r w:rsidR="00E431CF" w:rsidRPr="008A2021">
        <w:rPr>
          <w:rFonts w:ascii="Calibri Light" w:hAnsi="Calibri Light" w:cs="Calibri Light"/>
          <w:sz w:val="20"/>
          <w:szCs w:val="20"/>
        </w:rPr>
        <w:t xml:space="preserve">largest specialist fabrication sites in the UK. </w:t>
      </w:r>
      <w:r w:rsidR="00C17199" w:rsidRPr="008A2021">
        <w:rPr>
          <w:rFonts w:ascii="Calibri Light" w:hAnsi="Calibri Light" w:cs="Calibri Light"/>
          <w:sz w:val="20"/>
          <w:szCs w:val="20"/>
        </w:rPr>
        <w:t xml:space="preserve">Having acquired these assets out of administration, we have had to undertake </w:t>
      </w:r>
      <w:r w:rsidR="00723CC6" w:rsidRPr="008A2021">
        <w:rPr>
          <w:rFonts w:ascii="Calibri Light" w:hAnsi="Calibri Light" w:cs="Calibri Light"/>
          <w:sz w:val="20"/>
          <w:szCs w:val="20"/>
        </w:rPr>
        <w:t xml:space="preserve">an accelerated programme of repairs and maintenance as well as build up our core staff strength in order to be able to </w:t>
      </w:r>
      <w:r w:rsidR="00BD7B6F" w:rsidRPr="008A2021">
        <w:rPr>
          <w:rFonts w:ascii="Calibri Light" w:hAnsi="Calibri Light" w:cs="Calibri Light"/>
          <w:sz w:val="20"/>
          <w:szCs w:val="20"/>
        </w:rPr>
        <w:t xml:space="preserve">bid for and win large value contracts. </w:t>
      </w:r>
      <w:r w:rsidR="00466BC0">
        <w:rPr>
          <w:rFonts w:ascii="Calibri Light" w:hAnsi="Calibri Light" w:cs="Calibri Light"/>
          <w:sz w:val="20"/>
          <w:szCs w:val="20"/>
        </w:rPr>
        <w:t>Today</w:t>
      </w:r>
      <w:r w:rsidR="00BD7B6F" w:rsidRPr="008A2021">
        <w:rPr>
          <w:rFonts w:ascii="Calibri Light" w:hAnsi="Calibri Light" w:cs="Calibri Light"/>
          <w:sz w:val="20"/>
          <w:szCs w:val="20"/>
        </w:rPr>
        <w:t xml:space="preserve">, </w:t>
      </w:r>
      <w:r w:rsidR="00040678" w:rsidRPr="008A2021">
        <w:rPr>
          <w:rFonts w:ascii="Calibri Light" w:hAnsi="Calibri Light" w:cs="Calibri Light"/>
          <w:sz w:val="20"/>
          <w:szCs w:val="20"/>
        </w:rPr>
        <w:t xml:space="preserve">all our sites are fully operational with each site winning work </w:t>
      </w:r>
      <w:r w:rsidR="00740488" w:rsidRPr="008A2021">
        <w:rPr>
          <w:rFonts w:ascii="Calibri Light" w:hAnsi="Calibri Light" w:cs="Calibri Light"/>
          <w:sz w:val="20"/>
          <w:szCs w:val="20"/>
        </w:rPr>
        <w:lastRenderedPageBreak/>
        <w:t xml:space="preserve">and servicing clients, both new and repeat. </w:t>
      </w:r>
      <w:r w:rsidR="00D51515" w:rsidRPr="008A2021">
        <w:rPr>
          <w:rFonts w:ascii="Calibri Light" w:hAnsi="Calibri Light" w:cs="Calibri Light"/>
          <w:sz w:val="20"/>
          <w:szCs w:val="20"/>
        </w:rPr>
        <w:t>All sites have now been fully paid for</w:t>
      </w:r>
      <w:r w:rsidR="00047328">
        <w:rPr>
          <w:rFonts w:ascii="Calibri Light" w:hAnsi="Calibri Light" w:cs="Calibri Light"/>
          <w:sz w:val="20"/>
          <w:szCs w:val="20"/>
        </w:rPr>
        <w:t xml:space="preserve"> except Appledore</w:t>
      </w:r>
      <w:r w:rsidR="00D51515" w:rsidRPr="008A2021">
        <w:rPr>
          <w:rFonts w:ascii="Calibri Light" w:hAnsi="Calibri Light" w:cs="Calibri Light"/>
          <w:sz w:val="20"/>
          <w:szCs w:val="20"/>
        </w:rPr>
        <w:t>,</w:t>
      </w:r>
      <w:r w:rsidR="00466BC0">
        <w:rPr>
          <w:rFonts w:ascii="Calibri Light" w:hAnsi="Calibri Light" w:cs="Calibri Light"/>
          <w:sz w:val="20"/>
          <w:szCs w:val="20"/>
        </w:rPr>
        <w:t xml:space="preserve"> where</w:t>
      </w:r>
      <w:r w:rsidR="00D51515" w:rsidRPr="008A2021">
        <w:rPr>
          <w:rFonts w:ascii="Calibri Light" w:hAnsi="Calibri Light" w:cs="Calibri Light"/>
          <w:sz w:val="20"/>
          <w:szCs w:val="20"/>
        </w:rPr>
        <w:t xml:space="preserve"> there is a deferred consideration of £5.50 million payable to</w:t>
      </w:r>
      <w:r w:rsidR="002825C0" w:rsidRPr="008A2021">
        <w:rPr>
          <w:rFonts w:ascii="Calibri Light" w:hAnsi="Calibri Light" w:cs="Calibri Light"/>
          <w:sz w:val="20"/>
          <w:szCs w:val="20"/>
        </w:rPr>
        <w:t xml:space="preserve"> the vendors </w:t>
      </w:r>
      <w:r w:rsidR="00622445" w:rsidRPr="008A2021">
        <w:rPr>
          <w:rFonts w:ascii="Calibri Light" w:hAnsi="Calibri Light" w:cs="Calibri Light"/>
          <w:sz w:val="20"/>
          <w:szCs w:val="20"/>
        </w:rPr>
        <w:t xml:space="preserve">over 2021, 2022 and 2023. The deferred consideration portion for 2021 amounting to £1.50 million </w:t>
      </w:r>
      <w:r w:rsidR="009C09F8">
        <w:rPr>
          <w:rFonts w:ascii="Calibri Light" w:hAnsi="Calibri Light" w:cs="Calibri Light"/>
          <w:sz w:val="20"/>
          <w:szCs w:val="20"/>
        </w:rPr>
        <w:t>is due</w:t>
      </w:r>
      <w:r w:rsidR="00912B64" w:rsidRPr="008A2021">
        <w:rPr>
          <w:rFonts w:ascii="Calibri Light" w:hAnsi="Calibri Light" w:cs="Calibri Light"/>
          <w:sz w:val="20"/>
          <w:szCs w:val="20"/>
        </w:rPr>
        <w:t xml:space="preserve"> to the vendors at the end of</w:t>
      </w:r>
      <w:r w:rsidR="004F24D4">
        <w:rPr>
          <w:rFonts w:ascii="Calibri Light" w:hAnsi="Calibri Light" w:cs="Calibri Light"/>
          <w:sz w:val="20"/>
          <w:szCs w:val="20"/>
        </w:rPr>
        <w:t xml:space="preserve"> the year</w:t>
      </w:r>
      <w:r w:rsidR="005465B9" w:rsidRPr="008A2021">
        <w:rPr>
          <w:rFonts w:ascii="Calibri Light" w:hAnsi="Calibri Light" w:cs="Calibri Light"/>
          <w:sz w:val="20"/>
          <w:szCs w:val="20"/>
        </w:rPr>
        <w:t>.</w:t>
      </w:r>
      <w:r w:rsidR="00D51515" w:rsidRPr="008A2021">
        <w:rPr>
          <w:rFonts w:ascii="Calibri Light" w:hAnsi="Calibri Light" w:cs="Calibri Light"/>
          <w:sz w:val="20"/>
          <w:szCs w:val="20"/>
        </w:rPr>
        <w:t xml:space="preserve"> </w:t>
      </w:r>
      <w:r w:rsidR="00BA7B80" w:rsidRPr="008A2021">
        <w:rPr>
          <w:rFonts w:ascii="Calibri Light" w:hAnsi="Calibri Light" w:cs="Calibri Light"/>
          <w:sz w:val="20"/>
          <w:szCs w:val="20"/>
        </w:rPr>
        <w:t xml:space="preserve"> </w:t>
      </w:r>
      <w:r w:rsidR="00992C43" w:rsidRPr="008A2021">
        <w:rPr>
          <w:rFonts w:ascii="Calibri Light" w:hAnsi="Calibri Light" w:cs="Calibri Light"/>
          <w:sz w:val="20"/>
          <w:szCs w:val="20"/>
        </w:rPr>
        <w:t xml:space="preserve"> </w:t>
      </w:r>
    </w:p>
    <w:p w14:paraId="064AF3E6" w14:textId="77777777" w:rsidR="00CD705A" w:rsidRPr="008A2021" w:rsidRDefault="00CD705A" w:rsidP="00605A5C">
      <w:pPr>
        <w:pStyle w:val="cx"/>
        <w:spacing w:before="0" w:beforeAutospacing="0" w:after="0" w:afterAutospacing="0"/>
        <w:jc w:val="both"/>
        <w:rPr>
          <w:rFonts w:ascii="Calibri Light" w:hAnsi="Calibri Light" w:cs="Calibri Light"/>
          <w:sz w:val="20"/>
          <w:szCs w:val="20"/>
        </w:rPr>
      </w:pPr>
    </w:p>
    <w:p w14:paraId="45A13F2D" w14:textId="732EA9E6" w:rsidR="007F11F3" w:rsidRPr="008A2021" w:rsidRDefault="00CD166F" w:rsidP="00605A5C">
      <w:pPr>
        <w:pStyle w:val="cx"/>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 xml:space="preserve">Whilst we </w:t>
      </w:r>
      <w:r w:rsidR="002274B7">
        <w:rPr>
          <w:rFonts w:ascii="Calibri Light" w:hAnsi="Calibri Light" w:cs="Calibri Light"/>
          <w:sz w:val="20"/>
          <w:szCs w:val="20"/>
        </w:rPr>
        <w:t>continue to focus on a conservative level of</w:t>
      </w:r>
      <w:r w:rsidRPr="008A2021">
        <w:rPr>
          <w:rFonts w:ascii="Calibri Light" w:hAnsi="Calibri Light" w:cs="Calibri Light"/>
          <w:sz w:val="20"/>
          <w:szCs w:val="20"/>
        </w:rPr>
        <w:t xml:space="preserve"> cash burn relative to our </w:t>
      </w:r>
      <w:r w:rsidR="009A2E41" w:rsidRPr="008A2021">
        <w:rPr>
          <w:rFonts w:ascii="Calibri Light" w:hAnsi="Calibri Light" w:cs="Calibri Light"/>
          <w:sz w:val="20"/>
          <w:szCs w:val="20"/>
        </w:rPr>
        <w:t xml:space="preserve">physical </w:t>
      </w:r>
      <w:r w:rsidRPr="008A2021">
        <w:rPr>
          <w:rFonts w:ascii="Calibri Light" w:hAnsi="Calibri Light" w:cs="Calibri Light"/>
          <w:sz w:val="20"/>
          <w:szCs w:val="20"/>
        </w:rPr>
        <w:t>size</w:t>
      </w:r>
      <w:r w:rsidR="009A2E41" w:rsidRPr="008A2021">
        <w:rPr>
          <w:rFonts w:ascii="Calibri Light" w:hAnsi="Calibri Light" w:cs="Calibri Light"/>
          <w:sz w:val="20"/>
          <w:szCs w:val="20"/>
        </w:rPr>
        <w:t xml:space="preserve">, </w:t>
      </w:r>
      <w:r w:rsidR="002F17D0">
        <w:rPr>
          <w:rFonts w:ascii="Calibri Light" w:hAnsi="Calibri Light" w:cs="Calibri Light"/>
          <w:sz w:val="20"/>
          <w:szCs w:val="20"/>
        </w:rPr>
        <w:t>which</w:t>
      </w:r>
      <w:r w:rsidR="002F17D0" w:rsidRPr="008A2021">
        <w:rPr>
          <w:rFonts w:ascii="Calibri Light" w:hAnsi="Calibri Light" w:cs="Calibri Light"/>
          <w:sz w:val="20"/>
          <w:szCs w:val="20"/>
        </w:rPr>
        <w:t xml:space="preserve"> </w:t>
      </w:r>
      <w:r w:rsidR="009A2E41" w:rsidRPr="008A2021">
        <w:rPr>
          <w:rFonts w:ascii="Calibri Light" w:hAnsi="Calibri Light" w:cs="Calibri Light"/>
          <w:sz w:val="20"/>
          <w:szCs w:val="20"/>
        </w:rPr>
        <w:t xml:space="preserve">has trebled in the course of the last 12 months, general overheads and non-project related costs </w:t>
      </w:r>
      <w:r w:rsidR="00C4246A" w:rsidRPr="008A2021">
        <w:rPr>
          <w:rFonts w:ascii="Calibri Light" w:hAnsi="Calibri Light" w:cs="Calibri Light"/>
          <w:sz w:val="20"/>
          <w:szCs w:val="20"/>
        </w:rPr>
        <w:t xml:space="preserve">have increased over the </w:t>
      </w:r>
      <w:r w:rsidR="007025AC">
        <w:rPr>
          <w:rFonts w:ascii="Calibri Light" w:hAnsi="Calibri Light" w:cs="Calibri Light"/>
          <w:sz w:val="20"/>
          <w:szCs w:val="20"/>
        </w:rPr>
        <w:t>period</w:t>
      </w:r>
      <w:r w:rsidR="00C4246A" w:rsidRPr="008A2021">
        <w:rPr>
          <w:rFonts w:ascii="Calibri Light" w:hAnsi="Calibri Light" w:cs="Calibri Light"/>
          <w:sz w:val="20"/>
          <w:szCs w:val="20"/>
        </w:rPr>
        <w:t xml:space="preserve">. </w:t>
      </w:r>
      <w:r w:rsidR="00665C99">
        <w:rPr>
          <w:rFonts w:ascii="Calibri Light" w:hAnsi="Calibri Light" w:cs="Calibri Light"/>
          <w:sz w:val="20"/>
          <w:szCs w:val="20"/>
        </w:rPr>
        <w:t>A</w:t>
      </w:r>
      <w:r w:rsidR="00C4246A" w:rsidRPr="008A2021">
        <w:rPr>
          <w:rFonts w:ascii="Calibri Light" w:hAnsi="Calibri Light" w:cs="Calibri Light"/>
          <w:sz w:val="20"/>
          <w:szCs w:val="20"/>
        </w:rPr>
        <w:t xml:space="preserve">dministrative expenses for the period stood at </w:t>
      </w:r>
      <w:r w:rsidR="00E47100" w:rsidRPr="008A2021">
        <w:rPr>
          <w:rFonts w:ascii="Calibri Light" w:hAnsi="Calibri Light" w:cs="Calibri Light"/>
          <w:sz w:val="20"/>
          <w:szCs w:val="20"/>
        </w:rPr>
        <w:t>£15.25 million (31 July 2020: £9.48 million)</w:t>
      </w:r>
      <w:r w:rsidR="00E540DA" w:rsidRPr="008A2021">
        <w:rPr>
          <w:rFonts w:ascii="Calibri Light" w:hAnsi="Calibri Light" w:cs="Calibri Light"/>
          <w:sz w:val="20"/>
          <w:szCs w:val="20"/>
        </w:rPr>
        <w:t xml:space="preserve"> which was </w:t>
      </w:r>
      <w:r w:rsidR="00B137FF">
        <w:rPr>
          <w:rFonts w:ascii="Calibri Light" w:hAnsi="Calibri Light" w:cs="Calibri Light"/>
          <w:sz w:val="20"/>
          <w:szCs w:val="20"/>
        </w:rPr>
        <w:t>due</w:t>
      </w:r>
      <w:r w:rsidR="00B137FF" w:rsidRPr="008A2021">
        <w:rPr>
          <w:rFonts w:ascii="Calibri Light" w:hAnsi="Calibri Light" w:cs="Calibri Light"/>
          <w:sz w:val="20"/>
          <w:szCs w:val="20"/>
        </w:rPr>
        <w:t xml:space="preserve"> </w:t>
      </w:r>
      <w:r w:rsidR="00E540DA" w:rsidRPr="008A2021">
        <w:rPr>
          <w:rFonts w:ascii="Calibri Light" w:hAnsi="Calibri Light" w:cs="Calibri Light"/>
          <w:sz w:val="20"/>
          <w:szCs w:val="20"/>
        </w:rPr>
        <w:t xml:space="preserve">to </w:t>
      </w:r>
      <w:r w:rsidR="00C52B38">
        <w:rPr>
          <w:rFonts w:ascii="Calibri Light" w:hAnsi="Calibri Light" w:cs="Calibri Light"/>
          <w:sz w:val="20"/>
          <w:szCs w:val="20"/>
        </w:rPr>
        <w:t xml:space="preserve">our </w:t>
      </w:r>
      <w:r w:rsidR="00E540DA" w:rsidRPr="008A2021">
        <w:rPr>
          <w:rFonts w:ascii="Calibri Light" w:hAnsi="Calibri Light" w:cs="Calibri Light"/>
          <w:sz w:val="20"/>
          <w:szCs w:val="20"/>
        </w:rPr>
        <w:t>broader asset base and</w:t>
      </w:r>
      <w:r w:rsidR="002D727B">
        <w:rPr>
          <w:rFonts w:ascii="Calibri Light" w:hAnsi="Calibri Light" w:cs="Calibri Light"/>
          <w:sz w:val="20"/>
          <w:szCs w:val="20"/>
        </w:rPr>
        <w:t xml:space="preserve"> our strategy </w:t>
      </w:r>
      <w:r w:rsidR="00E540DA" w:rsidRPr="008A2021">
        <w:rPr>
          <w:rFonts w:ascii="Calibri Light" w:hAnsi="Calibri Light" w:cs="Calibri Light"/>
          <w:sz w:val="20"/>
          <w:szCs w:val="20"/>
        </w:rPr>
        <w:t xml:space="preserve">to service, grow and maintain a developing business. </w:t>
      </w:r>
      <w:r w:rsidR="00EC6980">
        <w:rPr>
          <w:rFonts w:ascii="Calibri Light" w:hAnsi="Calibri Light" w:cs="Calibri Light"/>
          <w:sz w:val="20"/>
          <w:szCs w:val="20"/>
        </w:rPr>
        <w:t>With</w:t>
      </w:r>
      <w:r w:rsidR="00EF0C39" w:rsidRPr="008A2021">
        <w:rPr>
          <w:rFonts w:ascii="Calibri Light" w:hAnsi="Calibri Light" w:cs="Calibri Light"/>
          <w:sz w:val="20"/>
          <w:szCs w:val="20"/>
        </w:rPr>
        <w:t xml:space="preserve"> stability on our cost base, we are at </w:t>
      </w:r>
      <w:r w:rsidR="002274B7">
        <w:rPr>
          <w:rFonts w:ascii="Calibri Light" w:hAnsi="Calibri Light" w:cs="Calibri Light"/>
          <w:sz w:val="20"/>
          <w:szCs w:val="20"/>
        </w:rPr>
        <w:t xml:space="preserve">that </w:t>
      </w:r>
      <w:r w:rsidR="00EF0C39" w:rsidRPr="008A2021">
        <w:rPr>
          <w:rFonts w:ascii="Calibri Light" w:hAnsi="Calibri Light" w:cs="Calibri Light"/>
          <w:sz w:val="20"/>
          <w:szCs w:val="20"/>
        </w:rPr>
        <w:t xml:space="preserve">inflection point </w:t>
      </w:r>
      <w:r w:rsidR="00D74C14">
        <w:rPr>
          <w:rFonts w:ascii="Calibri Light" w:hAnsi="Calibri Light" w:cs="Calibri Light"/>
          <w:sz w:val="20"/>
          <w:szCs w:val="20"/>
        </w:rPr>
        <w:t>whereby</w:t>
      </w:r>
      <w:r w:rsidR="00DC192E" w:rsidRPr="008A2021">
        <w:rPr>
          <w:rFonts w:ascii="Calibri Light" w:hAnsi="Calibri Light" w:cs="Calibri Light"/>
          <w:sz w:val="20"/>
          <w:szCs w:val="20"/>
        </w:rPr>
        <w:t xml:space="preserve"> winning larger cont</w:t>
      </w:r>
      <w:r w:rsidR="00692BE7">
        <w:rPr>
          <w:rFonts w:ascii="Calibri Light" w:hAnsi="Calibri Light" w:cs="Calibri Light"/>
          <w:sz w:val="20"/>
          <w:szCs w:val="20"/>
        </w:rPr>
        <w:t>r</w:t>
      </w:r>
      <w:r w:rsidR="00DC192E" w:rsidRPr="008A2021">
        <w:rPr>
          <w:rFonts w:ascii="Calibri Light" w:hAnsi="Calibri Light" w:cs="Calibri Light"/>
          <w:sz w:val="20"/>
          <w:szCs w:val="20"/>
        </w:rPr>
        <w:t>act values will</w:t>
      </w:r>
      <w:r w:rsidR="00354718">
        <w:rPr>
          <w:rFonts w:ascii="Calibri Light" w:hAnsi="Calibri Light" w:cs="Calibri Light"/>
          <w:sz w:val="20"/>
          <w:szCs w:val="20"/>
        </w:rPr>
        <w:t xml:space="preserve"> increasingly</w:t>
      </w:r>
      <w:r w:rsidR="00DC192E" w:rsidRPr="008A2021">
        <w:rPr>
          <w:rFonts w:ascii="Calibri Light" w:hAnsi="Calibri Light" w:cs="Calibri Light"/>
          <w:sz w:val="20"/>
          <w:szCs w:val="20"/>
        </w:rPr>
        <w:t xml:space="preserve"> cover our overheads and generate </w:t>
      </w:r>
      <w:r w:rsidR="00897757" w:rsidRPr="008A2021">
        <w:rPr>
          <w:rFonts w:ascii="Calibri Light" w:hAnsi="Calibri Light" w:cs="Calibri Light"/>
          <w:sz w:val="20"/>
          <w:szCs w:val="20"/>
        </w:rPr>
        <w:t xml:space="preserve">cash over and above the </w:t>
      </w:r>
      <w:r w:rsidR="002274B7">
        <w:rPr>
          <w:rFonts w:ascii="Calibri Light" w:hAnsi="Calibri Light" w:cs="Calibri Light"/>
          <w:sz w:val="20"/>
          <w:szCs w:val="20"/>
        </w:rPr>
        <w:t>G</w:t>
      </w:r>
      <w:r w:rsidR="00897757" w:rsidRPr="008A2021">
        <w:rPr>
          <w:rFonts w:ascii="Calibri Light" w:hAnsi="Calibri Light" w:cs="Calibri Light"/>
          <w:sz w:val="20"/>
          <w:szCs w:val="20"/>
        </w:rPr>
        <w:t>roup’s</w:t>
      </w:r>
      <w:r w:rsidR="008B7A5A">
        <w:rPr>
          <w:rFonts w:ascii="Calibri Light" w:hAnsi="Calibri Light" w:cs="Calibri Light"/>
          <w:sz w:val="20"/>
          <w:szCs w:val="20"/>
        </w:rPr>
        <w:t xml:space="preserve"> normal </w:t>
      </w:r>
      <w:r w:rsidR="00701F69">
        <w:rPr>
          <w:rFonts w:ascii="Calibri Light" w:hAnsi="Calibri Light" w:cs="Calibri Light"/>
          <w:sz w:val="20"/>
          <w:szCs w:val="20"/>
        </w:rPr>
        <w:t>operating expenditure</w:t>
      </w:r>
      <w:r w:rsidR="00897757" w:rsidRPr="008A2021">
        <w:rPr>
          <w:rFonts w:ascii="Calibri Light" w:hAnsi="Calibri Light" w:cs="Calibri Light"/>
          <w:sz w:val="20"/>
          <w:szCs w:val="20"/>
        </w:rPr>
        <w:t xml:space="preserve">. With over </w:t>
      </w:r>
      <w:r w:rsidR="004C30E4">
        <w:rPr>
          <w:rFonts w:ascii="Calibri Light" w:hAnsi="Calibri Light" w:cs="Calibri Light"/>
          <w:sz w:val="20"/>
          <w:szCs w:val="20"/>
        </w:rPr>
        <w:t>nine</w:t>
      </w:r>
      <w:r w:rsidR="00897757" w:rsidRPr="008A2021">
        <w:rPr>
          <w:rFonts w:ascii="Calibri Light" w:hAnsi="Calibri Light" w:cs="Calibri Light"/>
          <w:sz w:val="20"/>
          <w:szCs w:val="20"/>
        </w:rPr>
        <w:t xml:space="preserve"> vessels coming into Belfast in the last two months of this financial year and with a ramping up of the </w:t>
      </w:r>
      <w:r w:rsidR="00CF63A8">
        <w:rPr>
          <w:rFonts w:ascii="Calibri Light" w:hAnsi="Calibri Light" w:cs="Calibri Light"/>
          <w:sz w:val="20"/>
          <w:szCs w:val="20"/>
        </w:rPr>
        <w:t xml:space="preserve">first </w:t>
      </w:r>
      <w:r w:rsidR="00897757" w:rsidRPr="008A2021">
        <w:rPr>
          <w:rFonts w:ascii="Calibri Light" w:hAnsi="Calibri Light" w:cs="Calibri Light"/>
          <w:sz w:val="20"/>
          <w:szCs w:val="20"/>
        </w:rPr>
        <w:t xml:space="preserve">Saipem fabrication contract, we expect to achieve an annualised  cash break even position by the end of the year. </w:t>
      </w:r>
      <w:r w:rsidRPr="008A2021">
        <w:rPr>
          <w:rFonts w:ascii="Calibri Light" w:hAnsi="Calibri Light" w:cs="Calibri Light"/>
          <w:sz w:val="20"/>
          <w:szCs w:val="20"/>
        </w:rPr>
        <w:t xml:space="preserve"> </w:t>
      </w:r>
    </w:p>
    <w:p w14:paraId="12302E7E" w14:textId="77777777" w:rsidR="007F11F3" w:rsidRPr="008A2021" w:rsidRDefault="007F11F3" w:rsidP="00605A5C">
      <w:pPr>
        <w:pStyle w:val="cx"/>
        <w:spacing w:before="0" w:beforeAutospacing="0" w:after="0" w:afterAutospacing="0"/>
        <w:jc w:val="both"/>
        <w:rPr>
          <w:rFonts w:ascii="Calibri Light" w:hAnsi="Calibri Light" w:cs="Calibri Light"/>
          <w:sz w:val="20"/>
          <w:szCs w:val="20"/>
        </w:rPr>
      </w:pPr>
    </w:p>
    <w:p w14:paraId="1E505214" w14:textId="273EDD16" w:rsidR="00296F84" w:rsidRPr="008A2021" w:rsidRDefault="00966E66" w:rsidP="00605A5C">
      <w:pPr>
        <w:pStyle w:val="cx"/>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 xml:space="preserve">The Company raised the following sums through the period to 31 July 2021 </w:t>
      </w:r>
      <w:r w:rsidR="00353FCF" w:rsidRPr="008A2021">
        <w:rPr>
          <w:rFonts w:ascii="Calibri Light" w:hAnsi="Calibri Light" w:cs="Calibri Light"/>
          <w:sz w:val="20"/>
          <w:szCs w:val="20"/>
        </w:rPr>
        <w:t>by placing of new equity shares:</w:t>
      </w:r>
    </w:p>
    <w:p w14:paraId="31B44A44" w14:textId="6C91F229" w:rsidR="00353FCF" w:rsidRPr="008A2021" w:rsidRDefault="00353FCF" w:rsidP="00605A5C">
      <w:pPr>
        <w:pStyle w:val="cx"/>
        <w:spacing w:before="0" w:beforeAutospacing="0" w:after="0" w:afterAutospacing="0"/>
        <w:jc w:val="both"/>
        <w:rPr>
          <w:rFonts w:ascii="Calibri Light" w:hAnsi="Calibri Light" w:cs="Calibri Light"/>
          <w:sz w:val="20"/>
          <w:szCs w:val="20"/>
        </w:rPr>
      </w:pPr>
    </w:p>
    <w:p w14:paraId="3603F878" w14:textId="0822ADB5" w:rsidR="00353FCF" w:rsidRPr="008A2021" w:rsidRDefault="009905D5" w:rsidP="00353FCF">
      <w:pPr>
        <w:pStyle w:val="cx"/>
        <w:numPr>
          <w:ilvl w:val="0"/>
          <w:numId w:val="14"/>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13 January 2021: £8.40 million</w:t>
      </w:r>
      <w:r w:rsidR="00061369" w:rsidRPr="008A2021">
        <w:rPr>
          <w:rFonts w:ascii="Calibri Light" w:hAnsi="Calibri Light" w:cs="Calibri Light"/>
          <w:sz w:val="20"/>
          <w:szCs w:val="20"/>
        </w:rPr>
        <w:t xml:space="preserve"> (before expenses)</w:t>
      </w:r>
    </w:p>
    <w:p w14:paraId="78CC9A04" w14:textId="5D7EA8DD" w:rsidR="009905D5" w:rsidRPr="008A2021" w:rsidRDefault="00061369" w:rsidP="00353FCF">
      <w:pPr>
        <w:pStyle w:val="cx"/>
        <w:numPr>
          <w:ilvl w:val="0"/>
          <w:numId w:val="14"/>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24 May 2021: £12.07 million (before expenses)</w:t>
      </w:r>
    </w:p>
    <w:p w14:paraId="5F210D89" w14:textId="00415AE3" w:rsidR="00C84C17" w:rsidRPr="008A2021" w:rsidRDefault="00C84C17" w:rsidP="00C84C17">
      <w:pPr>
        <w:pStyle w:val="cx"/>
        <w:spacing w:before="0" w:beforeAutospacing="0" w:after="0" w:afterAutospacing="0"/>
        <w:jc w:val="both"/>
        <w:rPr>
          <w:rFonts w:ascii="Calibri Light" w:hAnsi="Calibri Light" w:cs="Calibri Light"/>
          <w:sz w:val="20"/>
          <w:szCs w:val="20"/>
        </w:rPr>
      </w:pPr>
    </w:p>
    <w:p w14:paraId="66486704" w14:textId="57C6BD4E" w:rsidR="00C84C17" w:rsidRPr="008A2021" w:rsidRDefault="00C84C17" w:rsidP="00C84C17">
      <w:pPr>
        <w:pStyle w:val="cx"/>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The proceeds of these placings were utilised for the following purposes:</w:t>
      </w:r>
    </w:p>
    <w:p w14:paraId="7E59508B" w14:textId="4373E453" w:rsidR="00C84C17" w:rsidRPr="008A2021" w:rsidRDefault="00C84C17" w:rsidP="00C84C17">
      <w:pPr>
        <w:pStyle w:val="cx"/>
        <w:spacing w:before="0" w:beforeAutospacing="0" w:after="0" w:afterAutospacing="0"/>
        <w:jc w:val="both"/>
        <w:rPr>
          <w:rFonts w:ascii="Calibri Light" w:hAnsi="Calibri Light" w:cs="Calibri Light"/>
          <w:sz w:val="20"/>
          <w:szCs w:val="20"/>
        </w:rPr>
      </w:pPr>
    </w:p>
    <w:p w14:paraId="500B197F" w14:textId="6EE394E9" w:rsidR="00C84C17" w:rsidRPr="008A2021" w:rsidRDefault="00832654" w:rsidP="00C84C17">
      <w:pPr>
        <w:pStyle w:val="cx"/>
        <w:numPr>
          <w:ilvl w:val="0"/>
          <w:numId w:val="15"/>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Performance bonds to meet the conditions precedent on the Saipem contract</w:t>
      </w:r>
    </w:p>
    <w:p w14:paraId="2BD4A0E9" w14:textId="4B2B1858" w:rsidR="00832654" w:rsidRPr="008A2021" w:rsidRDefault="00C1784A" w:rsidP="00C84C17">
      <w:pPr>
        <w:pStyle w:val="cx"/>
        <w:numPr>
          <w:ilvl w:val="0"/>
          <w:numId w:val="15"/>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Capex required at Methil to increase efficiency and productivity on the current Saipem contract and future contracts</w:t>
      </w:r>
    </w:p>
    <w:p w14:paraId="4F51D67D" w14:textId="37931C9F" w:rsidR="00F07080" w:rsidRPr="008A2021" w:rsidRDefault="00F07080" w:rsidP="00C84C17">
      <w:pPr>
        <w:pStyle w:val="cx"/>
        <w:numPr>
          <w:ilvl w:val="0"/>
          <w:numId w:val="15"/>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 xml:space="preserve">Capex required for essential repairs and maintenance at Belfast and Appledore </w:t>
      </w:r>
      <w:r w:rsidR="00864EC2" w:rsidRPr="008A2021">
        <w:rPr>
          <w:rFonts w:ascii="Calibri Light" w:hAnsi="Calibri Light" w:cs="Calibri Light"/>
          <w:sz w:val="20"/>
          <w:szCs w:val="20"/>
        </w:rPr>
        <w:t xml:space="preserve">as well as </w:t>
      </w:r>
      <w:r w:rsidR="004B7265" w:rsidRPr="008A2021">
        <w:rPr>
          <w:rFonts w:ascii="Calibri Light" w:hAnsi="Calibri Light" w:cs="Calibri Light"/>
          <w:sz w:val="20"/>
          <w:szCs w:val="20"/>
        </w:rPr>
        <w:t xml:space="preserve">meeting the acquisition costs for Appledore, Methil and </w:t>
      </w:r>
      <w:proofErr w:type="spellStart"/>
      <w:r w:rsidR="004B7265" w:rsidRPr="008A2021">
        <w:rPr>
          <w:rFonts w:ascii="Calibri Light" w:hAnsi="Calibri Light" w:cs="Calibri Light"/>
          <w:sz w:val="20"/>
          <w:szCs w:val="20"/>
        </w:rPr>
        <w:t>Arnish</w:t>
      </w:r>
      <w:proofErr w:type="spellEnd"/>
    </w:p>
    <w:p w14:paraId="55E4BBBA" w14:textId="588E83A3" w:rsidR="00C1784A" w:rsidRPr="008A2021" w:rsidRDefault="00F07080" w:rsidP="00C84C17">
      <w:pPr>
        <w:pStyle w:val="cx"/>
        <w:numPr>
          <w:ilvl w:val="0"/>
          <w:numId w:val="15"/>
        </w:numPr>
        <w:spacing w:before="0" w:beforeAutospacing="0" w:after="0" w:afterAutospacing="0"/>
        <w:jc w:val="both"/>
        <w:rPr>
          <w:rFonts w:ascii="Calibri Light" w:hAnsi="Calibri Light" w:cs="Calibri Light"/>
          <w:sz w:val="20"/>
          <w:szCs w:val="20"/>
        </w:rPr>
      </w:pPr>
      <w:r w:rsidRPr="008A2021">
        <w:rPr>
          <w:rFonts w:ascii="Calibri Light" w:hAnsi="Calibri Light" w:cs="Calibri Light"/>
          <w:sz w:val="20"/>
          <w:szCs w:val="20"/>
        </w:rPr>
        <w:t>General working capital</w:t>
      </w:r>
      <w:r w:rsidR="00BB0C77" w:rsidRPr="008A2021">
        <w:rPr>
          <w:rFonts w:ascii="Calibri Light" w:hAnsi="Calibri Light" w:cs="Calibri Light"/>
          <w:sz w:val="20"/>
          <w:szCs w:val="20"/>
        </w:rPr>
        <w:t xml:space="preserve"> to meet the needs of the </w:t>
      </w:r>
      <w:r w:rsidR="002274B7">
        <w:rPr>
          <w:rFonts w:ascii="Calibri Light" w:hAnsi="Calibri Light" w:cs="Calibri Light"/>
          <w:sz w:val="20"/>
          <w:szCs w:val="20"/>
        </w:rPr>
        <w:t>G</w:t>
      </w:r>
      <w:r w:rsidR="00BB0C77" w:rsidRPr="008A2021">
        <w:rPr>
          <w:rFonts w:ascii="Calibri Light" w:hAnsi="Calibri Light" w:cs="Calibri Light"/>
          <w:sz w:val="20"/>
          <w:szCs w:val="20"/>
        </w:rPr>
        <w:t xml:space="preserve">roup’s growing </w:t>
      </w:r>
      <w:r w:rsidR="005D1825" w:rsidRPr="008A2021">
        <w:rPr>
          <w:rFonts w:ascii="Calibri Light" w:hAnsi="Calibri Light" w:cs="Calibri Light"/>
          <w:sz w:val="20"/>
          <w:szCs w:val="20"/>
        </w:rPr>
        <w:t>business activities</w:t>
      </w:r>
    </w:p>
    <w:p w14:paraId="15B430E4" w14:textId="3CC45A11" w:rsidR="005D1825" w:rsidRPr="008A2021" w:rsidRDefault="005D1825" w:rsidP="005D1825">
      <w:pPr>
        <w:pStyle w:val="cx"/>
        <w:spacing w:before="0" w:beforeAutospacing="0" w:after="0" w:afterAutospacing="0"/>
        <w:jc w:val="both"/>
        <w:rPr>
          <w:rFonts w:ascii="Calibri Light" w:hAnsi="Calibri Light" w:cs="Calibri Light"/>
          <w:sz w:val="20"/>
          <w:szCs w:val="20"/>
        </w:rPr>
      </w:pPr>
    </w:p>
    <w:p w14:paraId="7C71E656" w14:textId="5CA06F56" w:rsidR="00EE19B9" w:rsidRPr="0073170B" w:rsidRDefault="00EE19B9" w:rsidP="00EE19B9">
      <w:pPr>
        <w:pStyle w:val="cx"/>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G</w:t>
      </w:r>
      <w:r w:rsidRPr="0073170B">
        <w:rPr>
          <w:rFonts w:asciiTheme="minorHAnsi" w:hAnsiTheme="minorHAnsi" w:cstheme="minorHAnsi"/>
          <w:sz w:val="20"/>
          <w:szCs w:val="20"/>
        </w:rPr>
        <w:t xml:space="preserve">oing into the </w:t>
      </w:r>
      <w:r>
        <w:rPr>
          <w:rFonts w:asciiTheme="minorHAnsi" w:hAnsiTheme="minorHAnsi" w:cstheme="minorHAnsi"/>
          <w:sz w:val="20"/>
          <w:szCs w:val="20"/>
        </w:rPr>
        <w:t>second half</w:t>
      </w:r>
      <w:r w:rsidRPr="0073170B">
        <w:rPr>
          <w:rFonts w:asciiTheme="minorHAnsi" w:hAnsiTheme="minorHAnsi" w:cstheme="minorHAnsi"/>
          <w:sz w:val="20"/>
          <w:szCs w:val="20"/>
        </w:rPr>
        <w:t xml:space="preserve"> of the current financial year and into the next year, we expect to have greater visibility and certainty of monthly cash flows</w:t>
      </w:r>
      <w:r>
        <w:rPr>
          <w:rFonts w:asciiTheme="minorHAnsi" w:hAnsiTheme="minorHAnsi" w:cstheme="minorHAnsi"/>
          <w:sz w:val="20"/>
          <w:szCs w:val="20"/>
        </w:rPr>
        <w:t>.</w:t>
      </w:r>
      <w:r w:rsidRPr="0073170B">
        <w:rPr>
          <w:rFonts w:asciiTheme="minorHAnsi" w:hAnsiTheme="minorHAnsi" w:cstheme="minorHAnsi"/>
          <w:sz w:val="20"/>
          <w:szCs w:val="20"/>
        </w:rPr>
        <w:t xml:space="preserve"> </w:t>
      </w:r>
      <w:r>
        <w:rPr>
          <w:rFonts w:asciiTheme="minorHAnsi" w:hAnsiTheme="minorHAnsi" w:cstheme="minorHAnsi"/>
          <w:sz w:val="20"/>
          <w:szCs w:val="20"/>
        </w:rPr>
        <w:t>The company currently has no long-term debt in place, and with greater r</w:t>
      </w:r>
      <w:r w:rsidRPr="0073170B">
        <w:rPr>
          <w:rFonts w:asciiTheme="minorHAnsi" w:hAnsiTheme="minorHAnsi" w:cstheme="minorHAnsi"/>
          <w:sz w:val="20"/>
          <w:szCs w:val="20"/>
        </w:rPr>
        <w:t>egularity</w:t>
      </w:r>
      <w:r>
        <w:rPr>
          <w:rFonts w:asciiTheme="minorHAnsi" w:hAnsiTheme="minorHAnsi" w:cstheme="minorHAnsi"/>
          <w:sz w:val="20"/>
          <w:szCs w:val="20"/>
        </w:rPr>
        <w:t xml:space="preserve"> of cash flows, we recognise the Company is more attractive to the cor</w:t>
      </w:r>
      <w:r w:rsidRPr="0073170B">
        <w:rPr>
          <w:rFonts w:asciiTheme="minorHAnsi" w:hAnsiTheme="minorHAnsi" w:cstheme="minorHAnsi"/>
          <w:sz w:val="20"/>
          <w:szCs w:val="20"/>
        </w:rPr>
        <w:t>porate debt</w:t>
      </w:r>
      <w:r>
        <w:rPr>
          <w:rFonts w:asciiTheme="minorHAnsi" w:hAnsiTheme="minorHAnsi" w:cstheme="minorHAnsi"/>
          <w:sz w:val="20"/>
          <w:szCs w:val="20"/>
        </w:rPr>
        <w:t xml:space="preserve"> market</w:t>
      </w:r>
      <w:r w:rsidRPr="0073170B">
        <w:rPr>
          <w:rFonts w:asciiTheme="minorHAnsi" w:hAnsiTheme="minorHAnsi" w:cstheme="minorHAnsi"/>
          <w:sz w:val="20"/>
          <w:szCs w:val="20"/>
        </w:rPr>
        <w:t xml:space="preserve">. We are in discussions to structure a group revolving </w:t>
      </w:r>
      <w:r>
        <w:rPr>
          <w:rFonts w:asciiTheme="minorHAnsi" w:hAnsiTheme="minorHAnsi" w:cstheme="minorHAnsi"/>
          <w:sz w:val="20"/>
          <w:szCs w:val="20"/>
        </w:rPr>
        <w:t xml:space="preserve">credit </w:t>
      </w:r>
      <w:r w:rsidRPr="0073170B">
        <w:rPr>
          <w:rFonts w:asciiTheme="minorHAnsi" w:hAnsiTheme="minorHAnsi" w:cstheme="minorHAnsi"/>
          <w:sz w:val="20"/>
          <w:szCs w:val="20"/>
        </w:rPr>
        <w:t xml:space="preserve">facility that </w:t>
      </w:r>
      <w:r>
        <w:rPr>
          <w:rFonts w:asciiTheme="minorHAnsi" w:hAnsiTheme="minorHAnsi" w:cstheme="minorHAnsi"/>
          <w:sz w:val="20"/>
          <w:szCs w:val="20"/>
        </w:rPr>
        <w:t>we will be able to</w:t>
      </w:r>
      <w:r w:rsidRPr="0073170B">
        <w:rPr>
          <w:rFonts w:asciiTheme="minorHAnsi" w:hAnsiTheme="minorHAnsi" w:cstheme="minorHAnsi"/>
          <w:sz w:val="20"/>
          <w:szCs w:val="20"/>
        </w:rPr>
        <w:t xml:space="preserve"> draw</w:t>
      </w:r>
      <w:r>
        <w:rPr>
          <w:rFonts w:asciiTheme="minorHAnsi" w:hAnsiTheme="minorHAnsi" w:cstheme="minorHAnsi"/>
          <w:sz w:val="20"/>
          <w:szCs w:val="20"/>
        </w:rPr>
        <w:t>-</w:t>
      </w:r>
      <w:r w:rsidRPr="0073170B">
        <w:rPr>
          <w:rFonts w:asciiTheme="minorHAnsi" w:hAnsiTheme="minorHAnsi" w:cstheme="minorHAnsi"/>
          <w:sz w:val="20"/>
          <w:szCs w:val="20"/>
        </w:rPr>
        <w:t xml:space="preserve">down on as and when </w:t>
      </w:r>
      <w:r>
        <w:rPr>
          <w:rFonts w:asciiTheme="minorHAnsi" w:hAnsiTheme="minorHAnsi" w:cstheme="minorHAnsi"/>
          <w:sz w:val="20"/>
          <w:szCs w:val="20"/>
        </w:rPr>
        <w:t>required</w:t>
      </w:r>
      <w:r w:rsidRPr="0073170B">
        <w:rPr>
          <w:rFonts w:asciiTheme="minorHAnsi" w:hAnsiTheme="minorHAnsi" w:cstheme="minorHAnsi"/>
          <w:sz w:val="20"/>
          <w:szCs w:val="20"/>
        </w:rPr>
        <w:t xml:space="preserve">, especially </w:t>
      </w:r>
      <w:r>
        <w:rPr>
          <w:rFonts w:asciiTheme="minorHAnsi" w:hAnsiTheme="minorHAnsi" w:cstheme="minorHAnsi"/>
          <w:sz w:val="20"/>
          <w:szCs w:val="20"/>
        </w:rPr>
        <w:t xml:space="preserve">to fulfil </w:t>
      </w:r>
      <w:r w:rsidRPr="0073170B">
        <w:rPr>
          <w:rFonts w:asciiTheme="minorHAnsi" w:hAnsiTheme="minorHAnsi" w:cstheme="minorHAnsi"/>
          <w:sz w:val="20"/>
          <w:szCs w:val="20"/>
        </w:rPr>
        <w:t>the working capital requirements of larger contracts.</w:t>
      </w:r>
      <w:r>
        <w:rPr>
          <w:rFonts w:asciiTheme="minorHAnsi" w:hAnsiTheme="minorHAnsi" w:cstheme="minorHAnsi"/>
          <w:sz w:val="20"/>
          <w:szCs w:val="20"/>
        </w:rPr>
        <w:t xml:space="preserve"> </w:t>
      </w:r>
      <w:r w:rsidRPr="008A2021">
        <w:rPr>
          <w:rFonts w:asciiTheme="minorHAnsi" w:hAnsiTheme="minorHAnsi" w:cstheme="minorHAnsi"/>
          <w:sz w:val="20"/>
          <w:szCs w:val="20"/>
        </w:rPr>
        <w:t>It is the Board’s view that the Company will benefit from having the ability to draw-down debt on an ongoing basis</w:t>
      </w:r>
      <w:r w:rsidRPr="00A71F5E">
        <w:rPr>
          <w:rFonts w:asciiTheme="minorHAnsi" w:hAnsiTheme="minorHAnsi" w:cstheme="minorHAnsi"/>
          <w:sz w:val="20"/>
          <w:szCs w:val="20"/>
        </w:rPr>
        <w:t xml:space="preserve"> </w:t>
      </w:r>
      <w:r w:rsidRPr="008A2021">
        <w:rPr>
          <w:rFonts w:asciiTheme="minorHAnsi" w:hAnsiTheme="minorHAnsi" w:cstheme="minorHAnsi"/>
          <w:sz w:val="20"/>
          <w:szCs w:val="20"/>
        </w:rPr>
        <w:t>as the Company scales and wins larger contracts</w:t>
      </w:r>
      <w:r w:rsidRPr="00A71F5E">
        <w:rPr>
          <w:rFonts w:asciiTheme="minorHAnsi" w:hAnsiTheme="minorHAnsi" w:cstheme="minorHAnsi"/>
          <w:sz w:val="20"/>
          <w:szCs w:val="20"/>
        </w:rPr>
        <w:t>.</w:t>
      </w:r>
    </w:p>
    <w:p w14:paraId="4B16921C" w14:textId="3BF014D0" w:rsidR="00512A36" w:rsidRPr="008A2021" w:rsidRDefault="00512A36">
      <w:pPr>
        <w:rPr>
          <w:rFonts w:ascii="Calibri Light" w:hAnsi="Calibri Light" w:cs="Calibri Light"/>
          <w:sz w:val="20"/>
          <w:szCs w:val="20"/>
        </w:rPr>
      </w:pPr>
    </w:p>
    <w:p w14:paraId="045B44D6" w14:textId="77777777" w:rsidR="00512A36" w:rsidRPr="008A2021" w:rsidRDefault="00512A36">
      <w:pPr>
        <w:rPr>
          <w:rFonts w:ascii="Calibri Light" w:hAnsi="Calibri Light" w:cs="Calibri Light"/>
          <w:sz w:val="20"/>
          <w:szCs w:val="20"/>
        </w:rPr>
      </w:pPr>
    </w:p>
    <w:p w14:paraId="479ED676" w14:textId="66E59B90" w:rsidR="00BB3CD3" w:rsidRPr="008A2021" w:rsidRDefault="00BB3CD3" w:rsidP="00BB3CD3">
      <w:pPr>
        <w:jc w:val="both"/>
        <w:rPr>
          <w:rFonts w:ascii="Calibri Light" w:eastAsia="Times New Roman" w:hAnsi="Calibri Light" w:cs="Calibri Light"/>
          <w:color w:val="000000"/>
          <w:sz w:val="20"/>
          <w:szCs w:val="20"/>
        </w:rPr>
      </w:pPr>
      <w:r w:rsidRPr="00BE43CC">
        <w:rPr>
          <w:rFonts w:ascii="Calibri Light" w:eastAsia="Times New Roman" w:hAnsi="Calibri Light" w:cs="Calibri Light"/>
          <w:b/>
          <w:bCs/>
          <w:color w:val="212721"/>
          <w:sz w:val="20"/>
          <w:szCs w:val="20"/>
        </w:rPr>
        <w:t>For further information, please visit </w:t>
      </w:r>
      <w:hyperlink r:id="rId11" w:history="1">
        <w:r w:rsidR="0073170B" w:rsidRPr="008A2021">
          <w:rPr>
            <w:rStyle w:val="Hyperlink"/>
            <w:rFonts w:ascii="Calibri Light" w:eastAsia="Times New Roman" w:hAnsi="Calibri Light" w:cs="Calibri Light"/>
            <w:b/>
            <w:bCs/>
            <w:sz w:val="20"/>
            <w:szCs w:val="20"/>
          </w:rPr>
          <w:t>www.harland-wolff.com</w:t>
        </w:r>
      </w:hyperlink>
      <w:r w:rsidRPr="00BE43CC">
        <w:rPr>
          <w:rFonts w:ascii="Calibri Light" w:eastAsia="Times New Roman" w:hAnsi="Calibri Light" w:cs="Calibri Light"/>
          <w:b/>
          <w:bCs/>
          <w:color w:val="212721"/>
          <w:sz w:val="20"/>
          <w:szCs w:val="20"/>
        </w:rPr>
        <w:t> or contact:</w:t>
      </w:r>
    </w:p>
    <w:p w14:paraId="33963DA4" w14:textId="77777777" w:rsidR="00BB3CD3" w:rsidRPr="0073170B" w:rsidRDefault="00BB3CD3" w:rsidP="00BB3CD3">
      <w:pPr>
        <w:jc w:val="both"/>
        <w:rPr>
          <w:rFonts w:eastAsia="Times New Roman"/>
          <w:b/>
          <w:bCs/>
          <w:color w:val="000000"/>
        </w:rPr>
      </w:pPr>
      <w:r w:rsidRPr="0073170B">
        <w:rPr>
          <w:rFonts w:ascii="Calibri Light" w:eastAsia="Times New Roman" w:hAnsi="Calibri Light" w:cs="Calibri Light"/>
          <w:b/>
          <w:bCs/>
          <w:color w:val="212721"/>
          <w:sz w:val="20"/>
          <w:szCs w:val="20"/>
        </w:rPr>
        <w:t> </w:t>
      </w:r>
    </w:p>
    <w:tbl>
      <w:tblPr>
        <w:tblW w:w="9075" w:type="dxa"/>
        <w:tblInd w:w="-216" w:type="dxa"/>
        <w:tblCellMar>
          <w:left w:w="0" w:type="dxa"/>
          <w:right w:w="0" w:type="dxa"/>
        </w:tblCellMar>
        <w:tblLook w:val="04A0" w:firstRow="1" w:lastRow="0" w:firstColumn="1" w:lastColumn="0" w:noHBand="0" w:noVBand="1"/>
      </w:tblPr>
      <w:tblGrid>
        <w:gridCol w:w="6255"/>
        <w:gridCol w:w="2820"/>
      </w:tblGrid>
      <w:tr w:rsidR="00BB3CD3" w:rsidRPr="0073170B" w14:paraId="31277E4B" w14:textId="77777777" w:rsidTr="001771CB">
        <w:tc>
          <w:tcPr>
            <w:tcW w:w="5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C78F13" w14:textId="77777777" w:rsidR="00BB3CD3" w:rsidRPr="0073170B" w:rsidRDefault="00BB3CD3" w:rsidP="001771CB">
            <w:pPr>
              <w:jc w:val="both"/>
              <w:rPr>
                <w:rFonts w:eastAsia="Times New Roman"/>
                <w:b/>
                <w:bCs/>
              </w:rPr>
            </w:pPr>
            <w:proofErr w:type="spellStart"/>
            <w:r w:rsidRPr="0073170B">
              <w:rPr>
                <w:rFonts w:ascii="Calibri Light" w:eastAsia="Times New Roman" w:hAnsi="Calibri Light" w:cs="Calibri Light"/>
                <w:b/>
                <w:bCs/>
                <w:color w:val="212721"/>
                <w:sz w:val="20"/>
                <w:szCs w:val="20"/>
              </w:rPr>
              <w:t>InfraStrata</w:t>
            </w:r>
            <w:proofErr w:type="spellEnd"/>
            <w:r w:rsidRPr="0073170B">
              <w:rPr>
                <w:rFonts w:ascii="Calibri Light" w:eastAsia="Times New Roman" w:hAnsi="Calibri Light" w:cs="Calibri Light"/>
                <w:b/>
                <w:bCs/>
                <w:color w:val="212721"/>
                <w:sz w:val="20"/>
                <w:szCs w:val="20"/>
              </w:rPr>
              <w:t xml:space="preserve"> plc</w:t>
            </w:r>
          </w:p>
          <w:p w14:paraId="73C8A537"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John Wood, Chief Executive</w:t>
            </w:r>
          </w:p>
          <w:p w14:paraId="73771C99"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Seena Shah, Head of Marketing &amp; Communications</w:t>
            </w:r>
          </w:p>
          <w:p w14:paraId="3B910FE5" w14:textId="77777777" w:rsidR="00BB3CD3" w:rsidRPr="0073170B" w:rsidRDefault="00BB3CD3" w:rsidP="001771CB">
            <w:pPr>
              <w:jc w:val="both"/>
              <w:rPr>
                <w:rFonts w:eastAsia="Times New Roman"/>
                <w:b/>
                <w:bCs/>
              </w:rPr>
            </w:pPr>
            <w:r w:rsidRPr="0073170B">
              <w:rPr>
                <w:rFonts w:ascii="Calibri Light" w:eastAsia="Times New Roman" w:hAnsi="Calibri Light" w:cs="Calibri Light"/>
                <w:b/>
                <w:bCs/>
                <w:color w:val="212721"/>
                <w:sz w:val="20"/>
                <w:szCs w:val="20"/>
              </w:rPr>
              <w:t> </w:t>
            </w:r>
          </w:p>
        </w:tc>
        <w:tc>
          <w:tcPr>
            <w:tcW w:w="26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1B96D6"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+44 (0)20 3900 2122</w:t>
            </w:r>
          </w:p>
          <w:p w14:paraId="087676FF" w14:textId="77777777" w:rsidR="00BB3CD3" w:rsidRPr="0073170B" w:rsidRDefault="00510F2B" w:rsidP="001771CB">
            <w:pPr>
              <w:jc w:val="both"/>
              <w:rPr>
                <w:rFonts w:eastAsia="Times New Roman"/>
              </w:rPr>
            </w:pPr>
            <w:hyperlink r:id="rId12" w:history="1">
              <w:r w:rsidR="00BB3CD3" w:rsidRPr="0073170B">
                <w:rPr>
                  <w:rFonts w:ascii="Calibri Light" w:eastAsia="Times New Roman" w:hAnsi="Calibri Light" w:cs="Calibri Light"/>
                  <w:color w:val="0000FF"/>
                  <w:sz w:val="20"/>
                  <w:szCs w:val="20"/>
                  <w:u w:val="single"/>
                </w:rPr>
                <w:t>investor@infrastrataplc.com</w:t>
              </w:r>
            </w:hyperlink>
          </w:p>
          <w:p w14:paraId="43BFD3A7"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 </w:t>
            </w:r>
          </w:p>
        </w:tc>
      </w:tr>
      <w:tr w:rsidR="00BB3CD3" w:rsidRPr="006666A0" w14:paraId="725A90F1" w14:textId="77777777" w:rsidTr="001771CB">
        <w:tc>
          <w:tcPr>
            <w:tcW w:w="5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24C7CE" w14:textId="77777777" w:rsidR="00BB3CD3" w:rsidRPr="0073170B" w:rsidRDefault="00BB3CD3" w:rsidP="001771CB">
            <w:pPr>
              <w:jc w:val="both"/>
              <w:rPr>
                <w:rFonts w:eastAsia="Times New Roman"/>
                <w:b/>
                <w:bCs/>
              </w:rPr>
            </w:pPr>
            <w:r w:rsidRPr="0073170B">
              <w:rPr>
                <w:rFonts w:ascii="Calibri Light" w:eastAsia="Times New Roman" w:hAnsi="Calibri Light" w:cs="Calibri Light"/>
                <w:b/>
                <w:bCs/>
                <w:color w:val="212721"/>
                <w:sz w:val="20"/>
                <w:szCs w:val="20"/>
              </w:rPr>
              <w:t>Cenkos Securities plc (Nominated Adviser &amp; Broker)</w:t>
            </w:r>
          </w:p>
          <w:p w14:paraId="45120B65"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Stephen Keys / Callum Davidson (Corporate Finance)</w:t>
            </w:r>
          </w:p>
          <w:p w14:paraId="604BE833" w14:textId="77777777" w:rsidR="00BB3CD3" w:rsidRPr="0073170B" w:rsidRDefault="00BB3CD3" w:rsidP="001771CB">
            <w:pPr>
              <w:jc w:val="both"/>
              <w:rPr>
                <w:rFonts w:eastAsia="Times New Roman"/>
              </w:rPr>
            </w:pPr>
            <w:r w:rsidRPr="0073170B">
              <w:rPr>
                <w:rFonts w:ascii="Calibri Light" w:eastAsia="Times New Roman" w:hAnsi="Calibri Light" w:cs="Calibri Light"/>
                <w:color w:val="212721"/>
                <w:sz w:val="20"/>
                <w:szCs w:val="20"/>
              </w:rPr>
              <w:t>Michael Johnson (Sales)</w:t>
            </w:r>
          </w:p>
          <w:p w14:paraId="5B17C371" w14:textId="77777777" w:rsidR="00BB3CD3" w:rsidRPr="0073170B" w:rsidRDefault="00BB3CD3" w:rsidP="001771CB">
            <w:pPr>
              <w:jc w:val="both"/>
              <w:rPr>
                <w:rFonts w:eastAsia="Times New Roman"/>
                <w:b/>
                <w:bCs/>
              </w:rPr>
            </w:pPr>
            <w:r w:rsidRPr="0073170B">
              <w:rPr>
                <w:rFonts w:ascii="Calibri Light" w:eastAsia="Times New Roman" w:hAnsi="Calibri Light" w:cs="Calibri Light"/>
                <w:b/>
                <w:bCs/>
                <w:color w:val="212721"/>
                <w:sz w:val="20"/>
                <w:szCs w:val="20"/>
              </w:rPr>
              <w:t> </w:t>
            </w:r>
          </w:p>
        </w:tc>
        <w:tc>
          <w:tcPr>
            <w:tcW w:w="2685" w:type="dxa"/>
            <w:tcBorders>
              <w:top w:val="nil"/>
              <w:left w:val="nil"/>
              <w:bottom w:val="single" w:sz="8" w:space="0" w:color="000000"/>
              <w:right w:val="single" w:sz="8" w:space="0" w:color="000000"/>
            </w:tcBorders>
            <w:tcMar>
              <w:top w:w="0" w:type="dxa"/>
              <w:left w:w="108" w:type="dxa"/>
              <w:bottom w:w="0" w:type="dxa"/>
              <w:right w:w="108" w:type="dxa"/>
            </w:tcMar>
            <w:hideMark/>
          </w:tcPr>
          <w:p w14:paraId="39B1BADD" w14:textId="77777777" w:rsidR="00BB3CD3" w:rsidRPr="006666A0" w:rsidRDefault="00BB3CD3" w:rsidP="001771CB">
            <w:pPr>
              <w:jc w:val="both"/>
              <w:rPr>
                <w:rFonts w:eastAsia="Times New Roman"/>
              </w:rPr>
            </w:pPr>
            <w:r w:rsidRPr="0073170B">
              <w:rPr>
                <w:rFonts w:ascii="Calibri Light" w:eastAsia="Times New Roman" w:hAnsi="Calibri Light" w:cs="Calibri Light"/>
                <w:color w:val="212721"/>
                <w:sz w:val="20"/>
                <w:szCs w:val="20"/>
              </w:rPr>
              <w:t>+44 (0)20 7397 8900</w:t>
            </w:r>
          </w:p>
        </w:tc>
      </w:tr>
    </w:tbl>
    <w:p w14:paraId="22F1C726" w14:textId="6E64B8FD" w:rsidR="0089653F" w:rsidRDefault="0089653F" w:rsidP="0089653F">
      <w:pPr>
        <w:tabs>
          <w:tab w:val="left" w:pos="989"/>
        </w:tabs>
        <w:rPr>
          <w:rFonts w:ascii="Arial" w:hAnsi="Arial"/>
          <w:sz w:val="20"/>
        </w:rPr>
      </w:pPr>
    </w:p>
    <w:p w14:paraId="2919AD5C" w14:textId="591C682E" w:rsidR="006C2A98" w:rsidRDefault="006C2A98" w:rsidP="0089653F">
      <w:pPr>
        <w:tabs>
          <w:tab w:val="left" w:pos="989"/>
        </w:tabs>
        <w:rPr>
          <w:rFonts w:ascii="Arial" w:hAnsi="Arial"/>
          <w:sz w:val="20"/>
        </w:rPr>
      </w:pPr>
    </w:p>
    <w:p w14:paraId="31D58AAC" w14:textId="6835B9C8" w:rsidR="006C2A98" w:rsidRDefault="006C2A98" w:rsidP="0089653F">
      <w:pPr>
        <w:tabs>
          <w:tab w:val="left" w:pos="989"/>
        </w:tabs>
        <w:rPr>
          <w:rFonts w:ascii="Arial" w:hAnsi="Arial"/>
          <w:sz w:val="20"/>
        </w:rPr>
      </w:pPr>
    </w:p>
    <w:p w14:paraId="70250A91" w14:textId="58133F81" w:rsidR="006C2A98" w:rsidRDefault="006C2A98" w:rsidP="0089653F">
      <w:pPr>
        <w:tabs>
          <w:tab w:val="left" w:pos="989"/>
        </w:tabs>
        <w:rPr>
          <w:rFonts w:ascii="Arial" w:hAnsi="Arial"/>
          <w:sz w:val="20"/>
        </w:rPr>
      </w:pPr>
    </w:p>
    <w:p w14:paraId="7578282E" w14:textId="1DAA5144" w:rsidR="006C2A98" w:rsidRDefault="006C2A98" w:rsidP="0089653F">
      <w:pPr>
        <w:tabs>
          <w:tab w:val="left" w:pos="989"/>
        </w:tabs>
        <w:rPr>
          <w:rFonts w:ascii="Arial" w:hAnsi="Arial"/>
          <w:sz w:val="20"/>
        </w:rPr>
      </w:pPr>
    </w:p>
    <w:p w14:paraId="29FC6E8D" w14:textId="5429F0B0" w:rsidR="006C2A98" w:rsidRDefault="006C2A98" w:rsidP="0089653F">
      <w:pPr>
        <w:tabs>
          <w:tab w:val="left" w:pos="989"/>
        </w:tabs>
        <w:rPr>
          <w:rFonts w:ascii="Arial" w:hAnsi="Arial"/>
          <w:sz w:val="20"/>
        </w:rPr>
      </w:pPr>
    </w:p>
    <w:p w14:paraId="68036521" w14:textId="654B90FB" w:rsidR="006C2A98" w:rsidRDefault="006C2A98" w:rsidP="0089653F">
      <w:pPr>
        <w:tabs>
          <w:tab w:val="left" w:pos="989"/>
        </w:tabs>
        <w:rPr>
          <w:rFonts w:ascii="Arial" w:hAnsi="Arial"/>
          <w:sz w:val="20"/>
        </w:rPr>
      </w:pPr>
    </w:p>
    <w:p w14:paraId="1F05DFE7" w14:textId="3F6B57EA" w:rsidR="006C2A98" w:rsidRDefault="006C2A98" w:rsidP="0089653F">
      <w:pPr>
        <w:tabs>
          <w:tab w:val="left" w:pos="989"/>
        </w:tabs>
        <w:rPr>
          <w:rFonts w:ascii="Arial" w:hAnsi="Arial"/>
          <w:sz w:val="20"/>
        </w:rPr>
      </w:pPr>
    </w:p>
    <w:p w14:paraId="1418924A" w14:textId="0DB0D20A" w:rsidR="006C2A98" w:rsidRDefault="006C2A98" w:rsidP="0089653F">
      <w:pPr>
        <w:tabs>
          <w:tab w:val="left" w:pos="989"/>
        </w:tabs>
        <w:rPr>
          <w:rFonts w:ascii="Arial" w:hAnsi="Arial"/>
          <w:sz w:val="20"/>
        </w:rPr>
      </w:pPr>
    </w:p>
    <w:p w14:paraId="5376831A" w14:textId="04906280" w:rsidR="006C2A98" w:rsidRDefault="006C2A98" w:rsidP="0089653F">
      <w:pPr>
        <w:tabs>
          <w:tab w:val="left" w:pos="989"/>
        </w:tabs>
        <w:rPr>
          <w:rFonts w:ascii="Arial" w:hAnsi="Arial"/>
          <w:sz w:val="20"/>
        </w:rPr>
      </w:pPr>
    </w:p>
    <w:p w14:paraId="321F8B1D" w14:textId="7F289D5D" w:rsidR="006C2A98" w:rsidRDefault="006C2A98" w:rsidP="0089653F">
      <w:pPr>
        <w:tabs>
          <w:tab w:val="left" w:pos="989"/>
        </w:tabs>
        <w:rPr>
          <w:rFonts w:ascii="Arial" w:hAnsi="Arial"/>
          <w:sz w:val="20"/>
        </w:rPr>
      </w:pPr>
    </w:p>
    <w:p w14:paraId="542A0413" w14:textId="6AEB4084" w:rsidR="006C2A98" w:rsidRDefault="006C2A98" w:rsidP="0089653F">
      <w:pPr>
        <w:tabs>
          <w:tab w:val="left" w:pos="989"/>
        </w:tabs>
        <w:rPr>
          <w:rFonts w:ascii="Arial" w:hAnsi="Arial"/>
          <w:sz w:val="20"/>
        </w:rPr>
      </w:pPr>
    </w:p>
    <w:p w14:paraId="5E16EC35" w14:textId="30708898" w:rsidR="006C2A98" w:rsidRDefault="006C2A98" w:rsidP="0089653F">
      <w:pPr>
        <w:tabs>
          <w:tab w:val="left" w:pos="989"/>
        </w:tabs>
        <w:rPr>
          <w:rFonts w:ascii="Arial" w:hAnsi="Arial"/>
          <w:sz w:val="20"/>
        </w:rPr>
      </w:pPr>
    </w:p>
    <w:p w14:paraId="6834F2CD" w14:textId="52539C88" w:rsidR="006C2A98" w:rsidRDefault="006C2A98" w:rsidP="0089653F">
      <w:pPr>
        <w:tabs>
          <w:tab w:val="left" w:pos="989"/>
        </w:tabs>
        <w:rPr>
          <w:rFonts w:ascii="Arial" w:hAnsi="Arial"/>
          <w:sz w:val="20"/>
        </w:rPr>
      </w:pPr>
    </w:p>
    <w:p w14:paraId="6CA8E31F" w14:textId="261E14AC" w:rsidR="006C2A98" w:rsidRDefault="006C2A98" w:rsidP="0089653F">
      <w:pPr>
        <w:tabs>
          <w:tab w:val="left" w:pos="989"/>
        </w:tabs>
        <w:rPr>
          <w:rFonts w:ascii="Arial" w:hAnsi="Arial"/>
          <w:sz w:val="20"/>
        </w:rPr>
      </w:pPr>
    </w:p>
    <w:tbl>
      <w:tblPr>
        <w:tblW w:w="0" w:type="auto"/>
        <w:tblLook w:val="04A0" w:firstRow="1" w:lastRow="0" w:firstColumn="1" w:lastColumn="0" w:noHBand="0" w:noVBand="1"/>
      </w:tblPr>
      <w:tblGrid>
        <w:gridCol w:w="5199"/>
        <w:gridCol w:w="739"/>
        <w:gridCol w:w="1795"/>
        <w:gridCol w:w="222"/>
        <w:gridCol w:w="1795"/>
      </w:tblGrid>
      <w:tr w:rsidR="00937254" w:rsidRPr="00937254" w14:paraId="08B9B874" w14:textId="77777777" w:rsidTr="00937254">
        <w:trPr>
          <w:trHeight w:val="300"/>
        </w:trPr>
        <w:tc>
          <w:tcPr>
            <w:tcW w:w="0" w:type="auto"/>
            <w:gridSpan w:val="3"/>
            <w:tcBorders>
              <w:top w:val="nil"/>
              <w:left w:val="nil"/>
              <w:bottom w:val="nil"/>
              <w:right w:val="nil"/>
            </w:tcBorders>
            <w:shd w:val="clear" w:color="auto" w:fill="auto"/>
            <w:noWrap/>
            <w:vAlign w:val="center"/>
            <w:hideMark/>
          </w:tcPr>
          <w:p w14:paraId="4645C740"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r w:rsidRPr="00937254">
              <w:rPr>
                <w:rFonts w:ascii="Arial" w:eastAsia="Times New Roman" w:hAnsi="Arial" w:cs="Arial"/>
                <w:b/>
                <w:bCs/>
                <w:sz w:val="20"/>
                <w:szCs w:val="20"/>
                <w:lang w:bidi="ar-SA"/>
              </w:rPr>
              <w:t>CONSOLIDATED STATEMENT OF COMPREHENSIVE INCOME</w:t>
            </w:r>
          </w:p>
        </w:tc>
        <w:tc>
          <w:tcPr>
            <w:tcW w:w="0" w:type="auto"/>
            <w:tcBorders>
              <w:top w:val="nil"/>
              <w:left w:val="nil"/>
              <w:bottom w:val="nil"/>
              <w:right w:val="nil"/>
            </w:tcBorders>
            <w:shd w:val="clear" w:color="auto" w:fill="auto"/>
            <w:noWrap/>
            <w:vAlign w:val="bottom"/>
            <w:hideMark/>
          </w:tcPr>
          <w:p w14:paraId="7DF9AF7F"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6ECEA5C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01B9664" w14:textId="77777777" w:rsidTr="00937254">
        <w:trPr>
          <w:trHeight w:val="300"/>
        </w:trPr>
        <w:tc>
          <w:tcPr>
            <w:tcW w:w="0" w:type="auto"/>
            <w:gridSpan w:val="2"/>
            <w:tcBorders>
              <w:top w:val="nil"/>
              <w:left w:val="nil"/>
              <w:bottom w:val="nil"/>
              <w:right w:val="nil"/>
            </w:tcBorders>
            <w:shd w:val="clear" w:color="auto" w:fill="auto"/>
            <w:noWrap/>
            <w:vAlign w:val="center"/>
            <w:hideMark/>
          </w:tcPr>
          <w:p w14:paraId="57E5FDCD"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r w:rsidRPr="00937254">
              <w:rPr>
                <w:rFonts w:ascii="Arial" w:eastAsia="Times New Roman" w:hAnsi="Arial" w:cs="Arial"/>
                <w:b/>
                <w:bCs/>
                <w:sz w:val="20"/>
                <w:szCs w:val="20"/>
                <w:lang w:bidi="ar-SA"/>
              </w:rPr>
              <w:t>For the twelve months ended 31 July 2021</w:t>
            </w:r>
          </w:p>
        </w:tc>
        <w:tc>
          <w:tcPr>
            <w:tcW w:w="0" w:type="auto"/>
            <w:tcBorders>
              <w:top w:val="nil"/>
              <w:left w:val="nil"/>
              <w:bottom w:val="nil"/>
              <w:right w:val="nil"/>
            </w:tcBorders>
            <w:shd w:val="clear" w:color="auto" w:fill="auto"/>
            <w:noWrap/>
            <w:vAlign w:val="bottom"/>
            <w:hideMark/>
          </w:tcPr>
          <w:p w14:paraId="2D467C23"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04151C5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8EBFB7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5A4B3D7" w14:textId="77777777" w:rsidTr="00937254">
        <w:trPr>
          <w:trHeight w:val="300"/>
        </w:trPr>
        <w:tc>
          <w:tcPr>
            <w:tcW w:w="0" w:type="auto"/>
            <w:tcBorders>
              <w:top w:val="nil"/>
              <w:left w:val="nil"/>
              <w:bottom w:val="nil"/>
              <w:right w:val="nil"/>
            </w:tcBorders>
            <w:shd w:val="clear" w:color="auto" w:fill="auto"/>
            <w:noWrap/>
            <w:vAlign w:val="bottom"/>
            <w:hideMark/>
          </w:tcPr>
          <w:p w14:paraId="4D656C1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6EFBE0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65A54C1"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Twelve months</w:t>
            </w:r>
          </w:p>
        </w:tc>
        <w:tc>
          <w:tcPr>
            <w:tcW w:w="0" w:type="auto"/>
            <w:tcBorders>
              <w:top w:val="nil"/>
              <w:left w:val="nil"/>
              <w:bottom w:val="nil"/>
              <w:right w:val="nil"/>
            </w:tcBorders>
            <w:shd w:val="clear" w:color="auto" w:fill="auto"/>
            <w:vAlign w:val="center"/>
            <w:hideMark/>
          </w:tcPr>
          <w:p w14:paraId="02726920"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7A37B196"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Year ended</w:t>
            </w:r>
          </w:p>
        </w:tc>
      </w:tr>
      <w:tr w:rsidR="00937254" w:rsidRPr="00937254" w14:paraId="274516FC" w14:textId="77777777" w:rsidTr="00937254">
        <w:trPr>
          <w:trHeight w:val="300"/>
        </w:trPr>
        <w:tc>
          <w:tcPr>
            <w:tcW w:w="0" w:type="auto"/>
            <w:tcBorders>
              <w:top w:val="nil"/>
              <w:left w:val="nil"/>
              <w:bottom w:val="nil"/>
              <w:right w:val="nil"/>
            </w:tcBorders>
            <w:shd w:val="clear" w:color="auto" w:fill="auto"/>
            <w:noWrap/>
            <w:vAlign w:val="bottom"/>
            <w:hideMark/>
          </w:tcPr>
          <w:p w14:paraId="5A9422AF"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00037CC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0D692AC"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ended 31 July</w:t>
            </w:r>
          </w:p>
        </w:tc>
        <w:tc>
          <w:tcPr>
            <w:tcW w:w="0" w:type="auto"/>
            <w:tcBorders>
              <w:top w:val="nil"/>
              <w:left w:val="nil"/>
              <w:bottom w:val="nil"/>
              <w:right w:val="nil"/>
            </w:tcBorders>
            <w:shd w:val="clear" w:color="auto" w:fill="auto"/>
            <w:vAlign w:val="center"/>
            <w:hideMark/>
          </w:tcPr>
          <w:p w14:paraId="62C582B0"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4E337610"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31 July</w:t>
            </w:r>
          </w:p>
        </w:tc>
      </w:tr>
      <w:tr w:rsidR="00937254" w:rsidRPr="00937254" w14:paraId="5B36CFCE" w14:textId="77777777" w:rsidTr="00937254">
        <w:trPr>
          <w:trHeight w:val="300"/>
        </w:trPr>
        <w:tc>
          <w:tcPr>
            <w:tcW w:w="0" w:type="auto"/>
            <w:tcBorders>
              <w:top w:val="nil"/>
              <w:left w:val="nil"/>
              <w:bottom w:val="nil"/>
              <w:right w:val="nil"/>
            </w:tcBorders>
            <w:shd w:val="clear" w:color="auto" w:fill="auto"/>
            <w:noWrap/>
            <w:vAlign w:val="bottom"/>
            <w:hideMark/>
          </w:tcPr>
          <w:p w14:paraId="208F8CDA"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3E1B4FB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8CE65D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124D53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D13C9EF"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r>
      <w:tr w:rsidR="00937254" w:rsidRPr="00937254" w14:paraId="01B58E60" w14:textId="77777777" w:rsidTr="00937254">
        <w:trPr>
          <w:trHeight w:val="300"/>
        </w:trPr>
        <w:tc>
          <w:tcPr>
            <w:tcW w:w="0" w:type="auto"/>
            <w:tcBorders>
              <w:top w:val="nil"/>
              <w:left w:val="nil"/>
              <w:bottom w:val="nil"/>
              <w:right w:val="nil"/>
            </w:tcBorders>
            <w:shd w:val="clear" w:color="auto" w:fill="auto"/>
            <w:noWrap/>
            <w:vAlign w:val="bottom"/>
            <w:hideMark/>
          </w:tcPr>
          <w:p w14:paraId="60CF06F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14A6E7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F7BE0E9"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2021</w:t>
            </w:r>
          </w:p>
        </w:tc>
        <w:tc>
          <w:tcPr>
            <w:tcW w:w="0" w:type="auto"/>
            <w:tcBorders>
              <w:top w:val="nil"/>
              <w:left w:val="nil"/>
              <w:bottom w:val="nil"/>
              <w:right w:val="nil"/>
            </w:tcBorders>
            <w:shd w:val="clear" w:color="auto" w:fill="auto"/>
            <w:vAlign w:val="center"/>
            <w:hideMark/>
          </w:tcPr>
          <w:p w14:paraId="6E7007C9"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5AE797C0"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2020</w:t>
            </w:r>
          </w:p>
        </w:tc>
      </w:tr>
      <w:tr w:rsidR="00937254" w:rsidRPr="00937254" w14:paraId="30840805" w14:textId="77777777" w:rsidTr="00937254">
        <w:trPr>
          <w:trHeight w:val="300"/>
        </w:trPr>
        <w:tc>
          <w:tcPr>
            <w:tcW w:w="0" w:type="auto"/>
            <w:tcBorders>
              <w:top w:val="nil"/>
              <w:left w:val="nil"/>
              <w:bottom w:val="nil"/>
              <w:right w:val="nil"/>
            </w:tcBorders>
            <w:shd w:val="clear" w:color="auto" w:fill="auto"/>
            <w:noWrap/>
            <w:vAlign w:val="bottom"/>
            <w:hideMark/>
          </w:tcPr>
          <w:p w14:paraId="2D23A263"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4B197B9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BA66516"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Unaudited</w:t>
            </w:r>
          </w:p>
        </w:tc>
        <w:tc>
          <w:tcPr>
            <w:tcW w:w="0" w:type="auto"/>
            <w:tcBorders>
              <w:top w:val="nil"/>
              <w:left w:val="nil"/>
              <w:bottom w:val="nil"/>
              <w:right w:val="nil"/>
            </w:tcBorders>
            <w:shd w:val="clear" w:color="auto" w:fill="auto"/>
            <w:vAlign w:val="center"/>
            <w:hideMark/>
          </w:tcPr>
          <w:p w14:paraId="2980B6B0"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49ED5288"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Audited</w:t>
            </w:r>
          </w:p>
        </w:tc>
      </w:tr>
      <w:tr w:rsidR="00937254" w:rsidRPr="00937254" w14:paraId="52FBEB01" w14:textId="77777777" w:rsidTr="00937254">
        <w:trPr>
          <w:trHeight w:val="300"/>
        </w:trPr>
        <w:tc>
          <w:tcPr>
            <w:tcW w:w="0" w:type="auto"/>
            <w:tcBorders>
              <w:top w:val="nil"/>
              <w:left w:val="nil"/>
              <w:bottom w:val="nil"/>
              <w:right w:val="nil"/>
            </w:tcBorders>
            <w:shd w:val="clear" w:color="auto" w:fill="auto"/>
            <w:noWrap/>
            <w:vAlign w:val="bottom"/>
            <w:hideMark/>
          </w:tcPr>
          <w:p w14:paraId="54346EC6"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7A8A7C4A"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Notes</w:t>
            </w:r>
          </w:p>
        </w:tc>
        <w:tc>
          <w:tcPr>
            <w:tcW w:w="0" w:type="auto"/>
            <w:tcBorders>
              <w:top w:val="nil"/>
              <w:left w:val="nil"/>
              <w:bottom w:val="nil"/>
              <w:right w:val="nil"/>
            </w:tcBorders>
            <w:shd w:val="clear" w:color="auto" w:fill="auto"/>
            <w:vAlign w:val="center"/>
            <w:hideMark/>
          </w:tcPr>
          <w:p w14:paraId="2DCF2556"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w:t>
            </w:r>
          </w:p>
        </w:tc>
        <w:tc>
          <w:tcPr>
            <w:tcW w:w="0" w:type="auto"/>
            <w:tcBorders>
              <w:top w:val="nil"/>
              <w:left w:val="nil"/>
              <w:bottom w:val="nil"/>
              <w:right w:val="nil"/>
            </w:tcBorders>
            <w:shd w:val="clear" w:color="auto" w:fill="auto"/>
            <w:noWrap/>
            <w:vAlign w:val="bottom"/>
            <w:hideMark/>
          </w:tcPr>
          <w:p w14:paraId="7ED810DB"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420B9FBD"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w:t>
            </w:r>
          </w:p>
        </w:tc>
      </w:tr>
      <w:tr w:rsidR="00937254" w:rsidRPr="00937254" w14:paraId="0DA8627B" w14:textId="77777777" w:rsidTr="00937254">
        <w:trPr>
          <w:trHeight w:val="300"/>
        </w:trPr>
        <w:tc>
          <w:tcPr>
            <w:tcW w:w="0" w:type="auto"/>
            <w:tcBorders>
              <w:top w:val="nil"/>
              <w:left w:val="nil"/>
              <w:bottom w:val="nil"/>
              <w:right w:val="nil"/>
            </w:tcBorders>
            <w:shd w:val="clear" w:color="auto" w:fill="auto"/>
            <w:vAlign w:val="center"/>
            <w:hideMark/>
          </w:tcPr>
          <w:p w14:paraId="25735AEF"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Continuing operations</w:t>
            </w:r>
          </w:p>
        </w:tc>
        <w:tc>
          <w:tcPr>
            <w:tcW w:w="0" w:type="auto"/>
            <w:tcBorders>
              <w:top w:val="nil"/>
              <w:left w:val="nil"/>
              <w:bottom w:val="nil"/>
              <w:right w:val="nil"/>
            </w:tcBorders>
            <w:shd w:val="clear" w:color="auto" w:fill="auto"/>
            <w:noWrap/>
            <w:vAlign w:val="bottom"/>
            <w:hideMark/>
          </w:tcPr>
          <w:p w14:paraId="557446EF"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68D21CE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FACDC0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583001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017D6C9" w14:textId="77777777" w:rsidTr="00937254">
        <w:trPr>
          <w:trHeight w:val="300"/>
        </w:trPr>
        <w:tc>
          <w:tcPr>
            <w:tcW w:w="0" w:type="auto"/>
            <w:tcBorders>
              <w:top w:val="nil"/>
              <w:left w:val="nil"/>
              <w:bottom w:val="nil"/>
              <w:right w:val="nil"/>
            </w:tcBorders>
            <w:shd w:val="clear" w:color="auto" w:fill="auto"/>
            <w:vAlign w:val="center"/>
            <w:hideMark/>
          </w:tcPr>
          <w:p w14:paraId="0FD6CB86"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Revenue</w:t>
            </w:r>
          </w:p>
        </w:tc>
        <w:tc>
          <w:tcPr>
            <w:tcW w:w="0" w:type="auto"/>
            <w:tcBorders>
              <w:top w:val="nil"/>
              <w:left w:val="nil"/>
              <w:bottom w:val="nil"/>
              <w:right w:val="nil"/>
            </w:tcBorders>
            <w:shd w:val="clear" w:color="auto" w:fill="auto"/>
            <w:noWrap/>
            <w:vAlign w:val="bottom"/>
            <w:hideMark/>
          </w:tcPr>
          <w:p w14:paraId="3E4A880E"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4C5259A7"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10,178,378 </w:t>
            </w:r>
          </w:p>
        </w:tc>
        <w:tc>
          <w:tcPr>
            <w:tcW w:w="0" w:type="auto"/>
            <w:tcBorders>
              <w:top w:val="nil"/>
              <w:left w:val="nil"/>
              <w:bottom w:val="nil"/>
              <w:right w:val="nil"/>
            </w:tcBorders>
            <w:shd w:val="clear" w:color="auto" w:fill="auto"/>
            <w:noWrap/>
            <w:vAlign w:val="bottom"/>
            <w:hideMark/>
          </w:tcPr>
          <w:p w14:paraId="0E4629F9"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34C4E1D1"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1,482,081 </w:t>
            </w:r>
          </w:p>
        </w:tc>
      </w:tr>
      <w:tr w:rsidR="00937254" w:rsidRPr="00937254" w14:paraId="2DEBC32B" w14:textId="77777777" w:rsidTr="00937254">
        <w:trPr>
          <w:trHeight w:val="300"/>
        </w:trPr>
        <w:tc>
          <w:tcPr>
            <w:tcW w:w="0" w:type="auto"/>
            <w:tcBorders>
              <w:top w:val="nil"/>
              <w:left w:val="nil"/>
              <w:bottom w:val="nil"/>
              <w:right w:val="nil"/>
            </w:tcBorders>
            <w:shd w:val="clear" w:color="auto" w:fill="auto"/>
            <w:vAlign w:val="center"/>
            <w:hideMark/>
          </w:tcPr>
          <w:p w14:paraId="2D9797EA"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Cost of sales</w:t>
            </w:r>
          </w:p>
        </w:tc>
        <w:tc>
          <w:tcPr>
            <w:tcW w:w="0" w:type="auto"/>
            <w:tcBorders>
              <w:top w:val="nil"/>
              <w:left w:val="nil"/>
              <w:bottom w:val="nil"/>
              <w:right w:val="nil"/>
            </w:tcBorders>
            <w:shd w:val="clear" w:color="auto" w:fill="auto"/>
            <w:noWrap/>
            <w:vAlign w:val="bottom"/>
            <w:hideMark/>
          </w:tcPr>
          <w:p w14:paraId="2BABBD02"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767EC466"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(7,717,432)</w:t>
            </w:r>
          </w:p>
        </w:tc>
        <w:tc>
          <w:tcPr>
            <w:tcW w:w="0" w:type="auto"/>
            <w:tcBorders>
              <w:top w:val="nil"/>
              <w:left w:val="nil"/>
              <w:bottom w:val="nil"/>
              <w:right w:val="nil"/>
            </w:tcBorders>
            <w:shd w:val="clear" w:color="auto" w:fill="auto"/>
            <w:noWrap/>
            <w:vAlign w:val="bottom"/>
            <w:hideMark/>
          </w:tcPr>
          <w:p w14:paraId="7841729D"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01D6F117"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(1,178,534)</w:t>
            </w:r>
          </w:p>
        </w:tc>
      </w:tr>
      <w:tr w:rsidR="00937254" w:rsidRPr="00937254" w14:paraId="105B7701" w14:textId="77777777" w:rsidTr="00937254">
        <w:trPr>
          <w:trHeight w:val="300"/>
        </w:trPr>
        <w:tc>
          <w:tcPr>
            <w:tcW w:w="0" w:type="auto"/>
            <w:tcBorders>
              <w:top w:val="nil"/>
              <w:left w:val="nil"/>
              <w:bottom w:val="nil"/>
              <w:right w:val="nil"/>
            </w:tcBorders>
            <w:shd w:val="clear" w:color="auto" w:fill="auto"/>
            <w:vAlign w:val="center"/>
            <w:hideMark/>
          </w:tcPr>
          <w:p w14:paraId="48AB0ADC"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Gross profit</w:t>
            </w:r>
          </w:p>
        </w:tc>
        <w:tc>
          <w:tcPr>
            <w:tcW w:w="0" w:type="auto"/>
            <w:tcBorders>
              <w:top w:val="nil"/>
              <w:left w:val="nil"/>
              <w:bottom w:val="nil"/>
              <w:right w:val="nil"/>
            </w:tcBorders>
            <w:shd w:val="clear" w:color="auto" w:fill="auto"/>
            <w:noWrap/>
            <w:vAlign w:val="bottom"/>
            <w:hideMark/>
          </w:tcPr>
          <w:p w14:paraId="64CC7A47"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137BE643"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 xml:space="preserve">           2,460,946 </w:t>
            </w:r>
          </w:p>
        </w:tc>
        <w:tc>
          <w:tcPr>
            <w:tcW w:w="0" w:type="auto"/>
            <w:tcBorders>
              <w:top w:val="nil"/>
              <w:left w:val="nil"/>
              <w:bottom w:val="nil"/>
              <w:right w:val="nil"/>
            </w:tcBorders>
            <w:shd w:val="clear" w:color="auto" w:fill="auto"/>
            <w:noWrap/>
            <w:vAlign w:val="bottom"/>
            <w:hideMark/>
          </w:tcPr>
          <w:p w14:paraId="133D6478"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3544180D"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 xml:space="preserve">              303,547 </w:t>
            </w:r>
          </w:p>
        </w:tc>
      </w:tr>
      <w:tr w:rsidR="00937254" w:rsidRPr="00937254" w14:paraId="27E28865" w14:textId="77777777" w:rsidTr="00937254">
        <w:trPr>
          <w:trHeight w:val="300"/>
        </w:trPr>
        <w:tc>
          <w:tcPr>
            <w:tcW w:w="0" w:type="auto"/>
            <w:tcBorders>
              <w:top w:val="nil"/>
              <w:left w:val="nil"/>
              <w:bottom w:val="nil"/>
              <w:right w:val="nil"/>
            </w:tcBorders>
            <w:shd w:val="clear" w:color="auto" w:fill="auto"/>
            <w:vAlign w:val="center"/>
            <w:hideMark/>
          </w:tcPr>
          <w:p w14:paraId="1FF11165"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7E3513B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5429DB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7A9328B"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1050020"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76C5A4EF" w14:textId="77777777" w:rsidTr="00937254">
        <w:trPr>
          <w:trHeight w:val="300"/>
        </w:trPr>
        <w:tc>
          <w:tcPr>
            <w:tcW w:w="0" w:type="auto"/>
            <w:tcBorders>
              <w:top w:val="nil"/>
              <w:left w:val="nil"/>
              <w:bottom w:val="nil"/>
              <w:right w:val="nil"/>
            </w:tcBorders>
            <w:shd w:val="clear" w:color="auto" w:fill="auto"/>
            <w:vAlign w:val="center"/>
            <w:hideMark/>
          </w:tcPr>
          <w:p w14:paraId="38974A15"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Other income</w:t>
            </w:r>
          </w:p>
        </w:tc>
        <w:tc>
          <w:tcPr>
            <w:tcW w:w="0" w:type="auto"/>
            <w:tcBorders>
              <w:top w:val="nil"/>
              <w:left w:val="nil"/>
              <w:bottom w:val="nil"/>
              <w:right w:val="nil"/>
            </w:tcBorders>
            <w:shd w:val="clear" w:color="auto" w:fill="auto"/>
            <w:noWrap/>
            <w:vAlign w:val="bottom"/>
            <w:hideMark/>
          </w:tcPr>
          <w:p w14:paraId="1F01D4BC"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44AE041"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441,401 </w:t>
            </w:r>
          </w:p>
        </w:tc>
        <w:tc>
          <w:tcPr>
            <w:tcW w:w="0" w:type="auto"/>
            <w:tcBorders>
              <w:top w:val="nil"/>
              <w:left w:val="nil"/>
              <w:bottom w:val="nil"/>
              <w:right w:val="nil"/>
            </w:tcBorders>
            <w:shd w:val="clear" w:color="auto" w:fill="auto"/>
            <w:noWrap/>
            <w:vAlign w:val="bottom"/>
            <w:hideMark/>
          </w:tcPr>
          <w:p w14:paraId="6789DAA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E97207A"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 </w:t>
            </w:r>
          </w:p>
        </w:tc>
      </w:tr>
      <w:tr w:rsidR="00937254" w:rsidRPr="00937254" w14:paraId="7C949202" w14:textId="77777777" w:rsidTr="00937254">
        <w:trPr>
          <w:trHeight w:val="510"/>
        </w:trPr>
        <w:tc>
          <w:tcPr>
            <w:tcW w:w="0" w:type="auto"/>
            <w:tcBorders>
              <w:top w:val="nil"/>
              <w:left w:val="nil"/>
              <w:bottom w:val="nil"/>
              <w:right w:val="nil"/>
            </w:tcBorders>
            <w:shd w:val="clear" w:color="auto" w:fill="auto"/>
            <w:vAlign w:val="center"/>
            <w:hideMark/>
          </w:tcPr>
          <w:p w14:paraId="17556302"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Management and administrative expenses</w:t>
            </w:r>
          </w:p>
        </w:tc>
        <w:tc>
          <w:tcPr>
            <w:tcW w:w="0" w:type="auto"/>
            <w:tcBorders>
              <w:top w:val="nil"/>
              <w:left w:val="nil"/>
              <w:bottom w:val="nil"/>
              <w:right w:val="nil"/>
            </w:tcBorders>
            <w:shd w:val="clear" w:color="auto" w:fill="auto"/>
            <w:noWrap/>
            <w:vAlign w:val="bottom"/>
            <w:hideMark/>
          </w:tcPr>
          <w:p w14:paraId="41C3F2B5"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1542DF53"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(15,257,107)</w:t>
            </w:r>
          </w:p>
        </w:tc>
        <w:tc>
          <w:tcPr>
            <w:tcW w:w="0" w:type="auto"/>
            <w:tcBorders>
              <w:top w:val="nil"/>
              <w:left w:val="nil"/>
              <w:bottom w:val="nil"/>
              <w:right w:val="nil"/>
            </w:tcBorders>
            <w:shd w:val="clear" w:color="auto" w:fill="auto"/>
            <w:noWrap/>
            <w:vAlign w:val="bottom"/>
            <w:hideMark/>
          </w:tcPr>
          <w:p w14:paraId="417E3743"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21AE374"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(8,257,724)</w:t>
            </w:r>
          </w:p>
        </w:tc>
      </w:tr>
      <w:tr w:rsidR="00937254" w:rsidRPr="00937254" w14:paraId="29C2DD89" w14:textId="77777777" w:rsidTr="00937254">
        <w:trPr>
          <w:trHeight w:val="300"/>
        </w:trPr>
        <w:tc>
          <w:tcPr>
            <w:tcW w:w="0" w:type="auto"/>
            <w:tcBorders>
              <w:top w:val="nil"/>
              <w:left w:val="nil"/>
              <w:bottom w:val="nil"/>
              <w:right w:val="nil"/>
            </w:tcBorders>
            <w:shd w:val="clear" w:color="auto" w:fill="auto"/>
            <w:vAlign w:val="center"/>
            <w:hideMark/>
          </w:tcPr>
          <w:p w14:paraId="6AB251C2"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Depreciation and amortisation</w:t>
            </w:r>
          </w:p>
        </w:tc>
        <w:tc>
          <w:tcPr>
            <w:tcW w:w="0" w:type="auto"/>
            <w:tcBorders>
              <w:top w:val="nil"/>
              <w:left w:val="nil"/>
              <w:bottom w:val="nil"/>
              <w:right w:val="nil"/>
            </w:tcBorders>
            <w:shd w:val="clear" w:color="auto" w:fill="auto"/>
            <w:noWrap/>
            <w:vAlign w:val="bottom"/>
            <w:hideMark/>
          </w:tcPr>
          <w:p w14:paraId="55F76335"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0EA5B908"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(2,325,259)</w:t>
            </w:r>
          </w:p>
        </w:tc>
        <w:tc>
          <w:tcPr>
            <w:tcW w:w="0" w:type="auto"/>
            <w:tcBorders>
              <w:top w:val="nil"/>
              <w:left w:val="nil"/>
              <w:bottom w:val="nil"/>
              <w:right w:val="nil"/>
            </w:tcBorders>
            <w:shd w:val="clear" w:color="auto" w:fill="auto"/>
            <w:noWrap/>
            <w:vAlign w:val="bottom"/>
            <w:hideMark/>
          </w:tcPr>
          <w:p w14:paraId="06B8140B"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5EE59CF2"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(1,224,655)</w:t>
            </w:r>
          </w:p>
        </w:tc>
      </w:tr>
      <w:tr w:rsidR="00937254" w:rsidRPr="00937254" w14:paraId="0E70B4E0" w14:textId="77777777" w:rsidTr="00937254">
        <w:trPr>
          <w:trHeight w:val="300"/>
        </w:trPr>
        <w:tc>
          <w:tcPr>
            <w:tcW w:w="0" w:type="auto"/>
            <w:tcBorders>
              <w:top w:val="nil"/>
              <w:left w:val="nil"/>
              <w:bottom w:val="nil"/>
              <w:right w:val="nil"/>
            </w:tcBorders>
            <w:shd w:val="clear" w:color="auto" w:fill="auto"/>
            <w:vAlign w:val="center"/>
            <w:hideMark/>
          </w:tcPr>
          <w:p w14:paraId="33B9A0A5"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7354A58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115FA9E7"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c>
          <w:tcPr>
            <w:tcW w:w="0" w:type="auto"/>
            <w:tcBorders>
              <w:top w:val="nil"/>
              <w:left w:val="nil"/>
              <w:bottom w:val="nil"/>
              <w:right w:val="nil"/>
            </w:tcBorders>
            <w:shd w:val="clear" w:color="auto" w:fill="auto"/>
            <w:noWrap/>
            <w:vAlign w:val="bottom"/>
            <w:hideMark/>
          </w:tcPr>
          <w:p w14:paraId="1E05C5A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5E7D77FB"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r>
      <w:tr w:rsidR="00937254" w:rsidRPr="00937254" w14:paraId="2FABD0B4" w14:textId="77777777" w:rsidTr="00937254">
        <w:trPr>
          <w:trHeight w:val="300"/>
        </w:trPr>
        <w:tc>
          <w:tcPr>
            <w:tcW w:w="0" w:type="auto"/>
            <w:tcBorders>
              <w:top w:val="nil"/>
              <w:left w:val="nil"/>
              <w:bottom w:val="nil"/>
              <w:right w:val="nil"/>
            </w:tcBorders>
            <w:shd w:val="clear" w:color="auto" w:fill="auto"/>
            <w:vAlign w:val="center"/>
            <w:hideMark/>
          </w:tcPr>
          <w:p w14:paraId="14D79CF1"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 xml:space="preserve">Operating loss </w:t>
            </w:r>
          </w:p>
        </w:tc>
        <w:tc>
          <w:tcPr>
            <w:tcW w:w="0" w:type="auto"/>
            <w:tcBorders>
              <w:top w:val="nil"/>
              <w:left w:val="nil"/>
              <w:bottom w:val="nil"/>
              <w:right w:val="nil"/>
            </w:tcBorders>
            <w:shd w:val="clear" w:color="auto" w:fill="auto"/>
            <w:noWrap/>
            <w:vAlign w:val="bottom"/>
            <w:hideMark/>
          </w:tcPr>
          <w:p w14:paraId="2EAC796E"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29BB4D6D"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 xml:space="preserve">        (14,680,019)</w:t>
            </w:r>
          </w:p>
        </w:tc>
        <w:tc>
          <w:tcPr>
            <w:tcW w:w="0" w:type="auto"/>
            <w:tcBorders>
              <w:top w:val="nil"/>
              <w:left w:val="nil"/>
              <w:bottom w:val="nil"/>
              <w:right w:val="nil"/>
            </w:tcBorders>
            <w:shd w:val="clear" w:color="auto" w:fill="auto"/>
            <w:noWrap/>
            <w:vAlign w:val="bottom"/>
            <w:hideMark/>
          </w:tcPr>
          <w:p w14:paraId="1196079F"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43AF1B01"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 xml:space="preserve">          (9,178,832)</w:t>
            </w:r>
          </w:p>
        </w:tc>
      </w:tr>
      <w:tr w:rsidR="00937254" w:rsidRPr="00937254" w14:paraId="22E3D79E" w14:textId="77777777" w:rsidTr="00937254">
        <w:trPr>
          <w:trHeight w:val="300"/>
        </w:trPr>
        <w:tc>
          <w:tcPr>
            <w:tcW w:w="0" w:type="auto"/>
            <w:tcBorders>
              <w:top w:val="nil"/>
              <w:left w:val="nil"/>
              <w:bottom w:val="nil"/>
              <w:right w:val="nil"/>
            </w:tcBorders>
            <w:shd w:val="clear" w:color="auto" w:fill="auto"/>
            <w:vAlign w:val="center"/>
            <w:hideMark/>
          </w:tcPr>
          <w:p w14:paraId="6D724CF9"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54FFE68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83B2BB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10A1768"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B309C2A"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10011121" w14:textId="77777777" w:rsidTr="00937254">
        <w:trPr>
          <w:trHeight w:val="300"/>
        </w:trPr>
        <w:tc>
          <w:tcPr>
            <w:tcW w:w="0" w:type="auto"/>
            <w:tcBorders>
              <w:top w:val="nil"/>
              <w:left w:val="nil"/>
              <w:bottom w:val="nil"/>
              <w:right w:val="nil"/>
            </w:tcBorders>
            <w:shd w:val="clear" w:color="auto" w:fill="auto"/>
            <w:vAlign w:val="center"/>
            <w:hideMark/>
          </w:tcPr>
          <w:p w14:paraId="19D39281"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Right of use lease interest</w:t>
            </w:r>
          </w:p>
        </w:tc>
        <w:tc>
          <w:tcPr>
            <w:tcW w:w="0" w:type="auto"/>
            <w:tcBorders>
              <w:top w:val="nil"/>
              <w:left w:val="nil"/>
              <w:bottom w:val="nil"/>
              <w:right w:val="nil"/>
            </w:tcBorders>
            <w:shd w:val="clear" w:color="auto" w:fill="auto"/>
            <w:noWrap/>
            <w:vAlign w:val="bottom"/>
            <w:hideMark/>
          </w:tcPr>
          <w:p w14:paraId="64A82AFD"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2861ABB" w14:textId="77777777" w:rsidR="00937254" w:rsidRPr="00937254" w:rsidRDefault="00937254" w:rsidP="00937254">
            <w:pPr>
              <w:widowControl/>
              <w:autoSpaceDE/>
              <w:autoSpaceDN/>
              <w:jc w:val="right"/>
              <w:rPr>
                <w:rFonts w:ascii="Arial" w:eastAsia="Times New Roman" w:hAnsi="Arial" w:cs="Arial"/>
                <w:color w:val="7030A0"/>
                <w:sz w:val="20"/>
                <w:szCs w:val="20"/>
                <w:lang w:bidi="ar-SA"/>
              </w:rPr>
            </w:pPr>
            <w:r w:rsidRPr="00B621D4">
              <w:rPr>
                <w:rFonts w:ascii="Arial" w:eastAsia="Times New Roman" w:hAnsi="Arial" w:cs="Arial"/>
                <w:sz w:val="20"/>
                <w:szCs w:val="20"/>
                <w:lang w:bidi="ar-SA"/>
              </w:rPr>
              <w:t xml:space="preserve">          (1,499,650)</w:t>
            </w:r>
          </w:p>
        </w:tc>
        <w:tc>
          <w:tcPr>
            <w:tcW w:w="0" w:type="auto"/>
            <w:tcBorders>
              <w:top w:val="nil"/>
              <w:left w:val="nil"/>
              <w:bottom w:val="nil"/>
              <w:right w:val="nil"/>
            </w:tcBorders>
            <w:shd w:val="clear" w:color="auto" w:fill="auto"/>
            <w:noWrap/>
            <w:vAlign w:val="bottom"/>
            <w:hideMark/>
          </w:tcPr>
          <w:p w14:paraId="0DBC4437" w14:textId="77777777" w:rsidR="00937254" w:rsidRPr="00937254" w:rsidRDefault="00937254" w:rsidP="00937254">
            <w:pPr>
              <w:widowControl/>
              <w:autoSpaceDE/>
              <w:autoSpaceDN/>
              <w:jc w:val="right"/>
              <w:rPr>
                <w:rFonts w:ascii="Arial" w:eastAsia="Times New Roman" w:hAnsi="Arial" w:cs="Arial"/>
                <w:color w:val="7030A0"/>
                <w:sz w:val="20"/>
                <w:szCs w:val="20"/>
                <w:lang w:bidi="ar-SA"/>
              </w:rPr>
            </w:pPr>
          </w:p>
        </w:tc>
        <w:tc>
          <w:tcPr>
            <w:tcW w:w="0" w:type="auto"/>
            <w:tcBorders>
              <w:top w:val="nil"/>
              <w:left w:val="nil"/>
              <w:bottom w:val="nil"/>
              <w:right w:val="nil"/>
            </w:tcBorders>
            <w:shd w:val="clear" w:color="auto" w:fill="auto"/>
            <w:noWrap/>
            <w:vAlign w:val="bottom"/>
            <w:hideMark/>
          </w:tcPr>
          <w:p w14:paraId="0A91A203"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(852,182)</w:t>
            </w:r>
          </w:p>
        </w:tc>
      </w:tr>
      <w:tr w:rsidR="00937254" w:rsidRPr="00937254" w14:paraId="24A0C88B" w14:textId="77777777" w:rsidTr="00937254">
        <w:trPr>
          <w:trHeight w:val="300"/>
        </w:trPr>
        <w:tc>
          <w:tcPr>
            <w:tcW w:w="0" w:type="auto"/>
            <w:tcBorders>
              <w:top w:val="nil"/>
              <w:left w:val="nil"/>
              <w:bottom w:val="nil"/>
              <w:right w:val="nil"/>
            </w:tcBorders>
            <w:shd w:val="clear" w:color="auto" w:fill="auto"/>
            <w:vAlign w:val="center"/>
            <w:hideMark/>
          </w:tcPr>
          <w:p w14:paraId="13FACFC5"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Finance expense</w:t>
            </w:r>
          </w:p>
        </w:tc>
        <w:tc>
          <w:tcPr>
            <w:tcW w:w="0" w:type="auto"/>
            <w:tcBorders>
              <w:top w:val="nil"/>
              <w:left w:val="nil"/>
              <w:bottom w:val="nil"/>
              <w:right w:val="nil"/>
            </w:tcBorders>
            <w:shd w:val="clear" w:color="auto" w:fill="auto"/>
            <w:noWrap/>
            <w:vAlign w:val="bottom"/>
            <w:hideMark/>
          </w:tcPr>
          <w:p w14:paraId="18017590"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0B07C33F"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(481,935)</w:t>
            </w:r>
          </w:p>
        </w:tc>
        <w:tc>
          <w:tcPr>
            <w:tcW w:w="0" w:type="auto"/>
            <w:tcBorders>
              <w:top w:val="nil"/>
              <w:left w:val="nil"/>
              <w:bottom w:val="nil"/>
              <w:right w:val="nil"/>
            </w:tcBorders>
            <w:shd w:val="clear" w:color="auto" w:fill="auto"/>
            <w:noWrap/>
            <w:vAlign w:val="bottom"/>
            <w:hideMark/>
          </w:tcPr>
          <w:p w14:paraId="43DA08A0"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1E89B992"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(378,864)</w:t>
            </w:r>
          </w:p>
        </w:tc>
      </w:tr>
      <w:tr w:rsidR="00937254" w:rsidRPr="00937254" w14:paraId="04C83422" w14:textId="77777777" w:rsidTr="00937254">
        <w:trPr>
          <w:trHeight w:val="300"/>
        </w:trPr>
        <w:tc>
          <w:tcPr>
            <w:tcW w:w="0" w:type="auto"/>
            <w:tcBorders>
              <w:top w:val="nil"/>
              <w:left w:val="nil"/>
              <w:bottom w:val="nil"/>
              <w:right w:val="nil"/>
            </w:tcBorders>
            <w:shd w:val="clear" w:color="auto" w:fill="auto"/>
            <w:vAlign w:val="center"/>
            <w:hideMark/>
          </w:tcPr>
          <w:p w14:paraId="473A404E"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Finance income</w:t>
            </w:r>
          </w:p>
        </w:tc>
        <w:tc>
          <w:tcPr>
            <w:tcW w:w="0" w:type="auto"/>
            <w:tcBorders>
              <w:top w:val="nil"/>
              <w:left w:val="nil"/>
              <w:bottom w:val="nil"/>
              <w:right w:val="nil"/>
            </w:tcBorders>
            <w:shd w:val="clear" w:color="auto" w:fill="auto"/>
            <w:noWrap/>
            <w:vAlign w:val="bottom"/>
            <w:hideMark/>
          </w:tcPr>
          <w:p w14:paraId="20C1D8F0"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47AC388B"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256 </w:t>
            </w:r>
          </w:p>
        </w:tc>
        <w:tc>
          <w:tcPr>
            <w:tcW w:w="0" w:type="auto"/>
            <w:tcBorders>
              <w:top w:val="nil"/>
              <w:left w:val="nil"/>
              <w:bottom w:val="nil"/>
              <w:right w:val="nil"/>
            </w:tcBorders>
            <w:shd w:val="clear" w:color="auto" w:fill="auto"/>
            <w:noWrap/>
            <w:vAlign w:val="bottom"/>
            <w:hideMark/>
          </w:tcPr>
          <w:p w14:paraId="3501FFAB"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8BA0E6D"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5 </w:t>
            </w:r>
          </w:p>
        </w:tc>
      </w:tr>
      <w:tr w:rsidR="00937254" w:rsidRPr="00937254" w14:paraId="0D89D666" w14:textId="77777777" w:rsidTr="00937254">
        <w:trPr>
          <w:trHeight w:val="300"/>
        </w:trPr>
        <w:tc>
          <w:tcPr>
            <w:tcW w:w="0" w:type="auto"/>
            <w:tcBorders>
              <w:top w:val="nil"/>
              <w:left w:val="nil"/>
              <w:bottom w:val="nil"/>
              <w:right w:val="nil"/>
            </w:tcBorders>
            <w:shd w:val="clear" w:color="auto" w:fill="auto"/>
            <w:vAlign w:val="center"/>
            <w:hideMark/>
          </w:tcPr>
          <w:p w14:paraId="0F84A93D"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6F5D351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65C9B7F2"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c>
          <w:tcPr>
            <w:tcW w:w="0" w:type="auto"/>
            <w:tcBorders>
              <w:top w:val="nil"/>
              <w:left w:val="nil"/>
              <w:bottom w:val="nil"/>
              <w:right w:val="nil"/>
            </w:tcBorders>
            <w:shd w:val="clear" w:color="auto" w:fill="auto"/>
            <w:noWrap/>
            <w:vAlign w:val="bottom"/>
            <w:hideMark/>
          </w:tcPr>
          <w:p w14:paraId="06A2B8FA"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2B9EFE2D"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r>
      <w:tr w:rsidR="00937254" w:rsidRPr="00937254" w14:paraId="349EFB13" w14:textId="77777777" w:rsidTr="00937254">
        <w:trPr>
          <w:trHeight w:val="300"/>
        </w:trPr>
        <w:tc>
          <w:tcPr>
            <w:tcW w:w="0" w:type="auto"/>
            <w:tcBorders>
              <w:top w:val="nil"/>
              <w:left w:val="nil"/>
              <w:bottom w:val="nil"/>
              <w:right w:val="nil"/>
            </w:tcBorders>
            <w:shd w:val="clear" w:color="auto" w:fill="auto"/>
            <w:vAlign w:val="center"/>
            <w:hideMark/>
          </w:tcPr>
          <w:p w14:paraId="7BF2B68E"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Loss before taxation</w:t>
            </w:r>
          </w:p>
        </w:tc>
        <w:tc>
          <w:tcPr>
            <w:tcW w:w="0" w:type="auto"/>
            <w:tcBorders>
              <w:top w:val="nil"/>
              <w:left w:val="nil"/>
              <w:bottom w:val="nil"/>
              <w:right w:val="nil"/>
            </w:tcBorders>
            <w:shd w:val="clear" w:color="auto" w:fill="auto"/>
            <w:noWrap/>
            <w:vAlign w:val="bottom"/>
            <w:hideMark/>
          </w:tcPr>
          <w:p w14:paraId="29526BEF"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5A037D86"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(16,661,349)</w:t>
            </w:r>
          </w:p>
        </w:tc>
        <w:tc>
          <w:tcPr>
            <w:tcW w:w="0" w:type="auto"/>
            <w:tcBorders>
              <w:top w:val="nil"/>
              <w:left w:val="nil"/>
              <w:bottom w:val="nil"/>
              <w:right w:val="nil"/>
            </w:tcBorders>
            <w:shd w:val="clear" w:color="auto" w:fill="auto"/>
            <w:noWrap/>
            <w:vAlign w:val="bottom"/>
            <w:hideMark/>
          </w:tcPr>
          <w:p w14:paraId="52F36561"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5E852310"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(10,409,873)</w:t>
            </w:r>
          </w:p>
        </w:tc>
      </w:tr>
      <w:tr w:rsidR="00937254" w:rsidRPr="00937254" w14:paraId="0E51D769" w14:textId="77777777" w:rsidTr="00937254">
        <w:trPr>
          <w:trHeight w:val="300"/>
        </w:trPr>
        <w:tc>
          <w:tcPr>
            <w:tcW w:w="0" w:type="auto"/>
            <w:tcBorders>
              <w:top w:val="nil"/>
              <w:left w:val="nil"/>
              <w:bottom w:val="nil"/>
              <w:right w:val="nil"/>
            </w:tcBorders>
            <w:shd w:val="clear" w:color="auto" w:fill="auto"/>
            <w:vAlign w:val="center"/>
            <w:hideMark/>
          </w:tcPr>
          <w:p w14:paraId="5212CEB5"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Taxation</w:t>
            </w:r>
          </w:p>
        </w:tc>
        <w:tc>
          <w:tcPr>
            <w:tcW w:w="0" w:type="auto"/>
            <w:tcBorders>
              <w:top w:val="nil"/>
              <w:left w:val="nil"/>
              <w:bottom w:val="nil"/>
              <w:right w:val="nil"/>
            </w:tcBorders>
            <w:shd w:val="clear" w:color="auto" w:fill="auto"/>
            <w:noWrap/>
            <w:vAlign w:val="bottom"/>
            <w:hideMark/>
          </w:tcPr>
          <w:p w14:paraId="3690E88C"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703600D3"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   </w:t>
            </w:r>
          </w:p>
        </w:tc>
        <w:tc>
          <w:tcPr>
            <w:tcW w:w="0" w:type="auto"/>
            <w:tcBorders>
              <w:top w:val="nil"/>
              <w:left w:val="nil"/>
              <w:bottom w:val="nil"/>
              <w:right w:val="nil"/>
            </w:tcBorders>
            <w:shd w:val="clear" w:color="auto" w:fill="auto"/>
            <w:noWrap/>
            <w:vAlign w:val="bottom"/>
            <w:hideMark/>
          </w:tcPr>
          <w:p w14:paraId="62CA80C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0DBC5D3E"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   </w:t>
            </w:r>
          </w:p>
        </w:tc>
      </w:tr>
      <w:tr w:rsidR="00937254" w:rsidRPr="00937254" w14:paraId="313FD913" w14:textId="77777777" w:rsidTr="00937254">
        <w:trPr>
          <w:trHeight w:val="300"/>
        </w:trPr>
        <w:tc>
          <w:tcPr>
            <w:tcW w:w="0" w:type="auto"/>
            <w:tcBorders>
              <w:top w:val="nil"/>
              <w:left w:val="nil"/>
              <w:bottom w:val="nil"/>
              <w:right w:val="nil"/>
            </w:tcBorders>
            <w:shd w:val="clear" w:color="auto" w:fill="auto"/>
            <w:vAlign w:val="center"/>
            <w:hideMark/>
          </w:tcPr>
          <w:p w14:paraId="74C1A059"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433161E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5886BB01"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c>
          <w:tcPr>
            <w:tcW w:w="0" w:type="auto"/>
            <w:tcBorders>
              <w:top w:val="nil"/>
              <w:left w:val="nil"/>
              <w:bottom w:val="nil"/>
              <w:right w:val="nil"/>
            </w:tcBorders>
            <w:shd w:val="clear" w:color="auto" w:fill="auto"/>
            <w:noWrap/>
            <w:vAlign w:val="bottom"/>
            <w:hideMark/>
          </w:tcPr>
          <w:p w14:paraId="43C10382"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5EB06C83"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r>
      <w:tr w:rsidR="00937254" w:rsidRPr="00937254" w14:paraId="087F61A4" w14:textId="77777777" w:rsidTr="00937254">
        <w:trPr>
          <w:trHeight w:val="510"/>
        </w:trPr>
        <w:tc>
          <w:tcPr>
            <w:tcW w:w="0" w:type="auto"/>
            <w:tcBorders>
              <w:top w:val="nil"/>
              <w:left w:val="nil"/>
              <w:bottom w:val="nil"/>
              <w:right w:val="nil"/>
            </w:tcBorders>
            <w:shd w:val="clear" w:color="auto" w:fill="auto"/>
            <w:vAlign w:val="center"/>
            <w:hideMark/>
          </w:tcPr>
          <w:p w14:paraId="79776E90"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Loss for the period from continuing operations</w:t>
            </w:r>
          </w:p>
        </w:tc>
        <w:tc>
          <w:tcPr>
            <w:tcW w:w="0" w:type="auto"/>
            <w:tcBorders>
              <w:top w:val="nil"/>
              <w:left w:val="nil"/>
              <w:bottom w:val="nil"/>
              <w:right w:val="nil"/>
            </w:tcBorders>
            <w:shd w:val="clear" w:color="auto" w:fill="auto"/>
            <w:noWrap/>
            <w:vAlign w:val="bottom"/>
            <w:hideMark/>
          </w:tcPr>
          <w:p w14:paraId="75D98125"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343C6BF1"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(16,661,349)</w:t>
            </w:r>
          </w:p>
        </w:tc>
        <w:tc>
          <w:tcPr>
            <w:tcW w:w="0" w:type="auto"/>
            <w:tcBorders>
              <w:top w:val="nil"/>
              <w:left w:val="nil"/>
              <w:bottom w:val="nil"/>
              <w:right w:val="nil"/>
            </w:tcBorders>
            <w:shd w:val="clear" w:color="auto" w:fill="auto"/>
            <w:noWrap/>
            <w:vAlign w:val="bottom"/>
            <w:hideMark/>
          </w:tcPr>
          <w:p w14:paraId="0D05CE00"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32BC9A7C"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(10,409,873)</w:t>
            </w:r>
          </w:p>
        </w:tc>
      </w:tr>
      <w:tr w:rsidR="00937254" w:rsidRPr="00937254" w14:paraId="07BA6FF6" w14:textId="77777777" w:rsidTr="00937254">
        <w:trPr>
          <w:trHeight w:val="300"/>
        </w:trPr>
        <w:tc>
          <w:tcPr>
            <w:tcW w:w="0" w:type="auto"/>
            <w:tcBorders>
              <w:top w:val="nil"/>
              <w:left w:val="nil"/>
              <w:bottom w:val="nil"/>
              <w:right w:val="nil"/>
            </w:tcBorders>
            <w:shd w:val="clear" w:color="auto" w:fill="auto"/>
            <w:hideMark/>
          </w:tcPr>
          <w:p w14:paraId="19D174D9"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137C590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246F9A10"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c>
          <w:tcPr>
            <w:tcW w:w="0" w:type="auto"/>
            <w:tcBorders>
              <w:top w:val="nil"/>
              <w:left w:val="nil"/>
              <w:bottom w:val="nil"/>
              <w:right w:val="nil"/>
            </w:tcBorders>
            <w:shd w:val="clear" w:color="auto" w:fill="auto"/>
            <w:noWrap/>
            <w:vAlign w:val="bottom"/>
            <w:hideMark/>
          </w:tcPr>
          <w:p w14:paraId="687626B6"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17B7F839"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r>
      <w:tr w:rsidR="00937254" w:rsidRPr="00937254" w14:paraId="7158D7F7" w14:textId="77777777" w:rsidTr="00937254">
        <w:trPr>
          <w:trHeight w:val="510"/>
        </w:trPr>
        <w:tc>
          <w:tcPr>
            <w:tcW w:w="0" w:type="auto"/>
            <w:tcBorders>
              <w:top w:val="nil"/>
              <w:left w:val="nil"/>
              <w:bottom w:val="nil"/>
              <w:right w:val="nil"/>
            </w:tcBorders>
            <w:shd w:val="clear" w:color="auto" w:fill="auto"/>
            <w:vAlign w:val="center"/>
            <w:hideMark/>
          </w:tcPr>
          <w:p w14:paraId="1665EE43"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Loss for the period attributable to the equity holders of the parent</w:t>
            </w:r>
          </w:p>
        </w:tc>
        <w:tc>
          <w:tcPr>
            <w:tcW w:w="0" w:type="auto"/>
            <w:tcBorders>
              <w:top w:val="nil"/>
              <w:left w:val="nil"/>
              <w:bottom w:val="nil"/>
              <w:right w:val="nil"/>
            </w:tcBorders>
            <w:shd w:val="clear" w:color="auto" w:fill="auto"/>
            <w:noWrap/>
            <w:vAlign w:val="bottom"/>
            <w:hideMark/>
          </w:tcPr>
          <w:p w14:paraId="5F72352A"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3B6E6845"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(16,661,349)</w:t>
            </w:r>
          </w:p>
        </w:tc>
        <w:tc>
          <w:tcPr>
            <w:tcW w:w="0" w:type="auto"/>
            <w:tcBorders>
              <w:top w:val="nil"/>
              <w:left w:val="nil"/>
              <w:bottom w:val="nil"/>
              <w:right w:val="nil"/>
            </w:tcBorders>
            <w:shd w:val="clear" w:color="auto" w:fill="auto"/>
            <w:noWrap/>
            <w:vAlign w:val="bottom"/>
            <w:hideMark/>
          </w:tcPr>
          <w:p w14:paraId="15A2FB02"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28842A55"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(10,409,873)</w:t>
            </w:r>
          </w:p>
        </w:tc>
      </w:tr>
      <w:tr w:rsidR="00937254" w:rsidRPr="00937254" w14:paraId="59AA80DF" w14:textId="77777777" w:rsidTr="00937254">
        <w:trPr>
          <w:trHeight w:val="300"/>
        </w:trPr>
        <w:tc>
          <w:tcPr>
            <w:tcW w:w="0" w:type="auto"/>
            <w:tcBorders>
              <w:top w:val="nil"/>
              <w:left w:val="nil"/>
              <w:bottom w:val="nil"/>
              <w:right w:val="nil"/>
            </w:tcBorders>
            <w:shd w:val="clear" w:color="auto" w:fill="auto"/>
            <w:vAlign w:val="center"/>
            <w:hideMark/>
          </w:tcPr>
          <w:p w14:paraId="78621DC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671E6A6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4E6153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9C9BB19"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B1B842D"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01AD0205" w14:textId="77777777" w:rsidTr="00937254">
        <w:trPr>
          <w:trHeight w:val="300"/>
        </w:trPr>
        <w:tc>
          <w:tcPr>
            <w:tcW w:w="0" w:type="auto"/>
            <w:tcBorders>
              <w:top w:val="nil"/>
              <w:left w:val="nil"/>
              <w:bottom w:val="nil"/>
              <w:right w:val="nil"/>
            </w:tcBorders>
            <w:shd w:val="clear" w:color="auto" w:fill="auto"/>
            <w:vAlign w:val="center"/>
            <w:hideMark/>
          </w:tcPr>
          <w:p w14:paraId="7D1ED2A2"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Other comprehensive income</w:t>
            </w:r>
            <w:r w:rsidRPr="00937254">
              <w:rPr>
                <w:rFonts w:ascii="Arial" w:eastAsia="Times New Roman" w:hAnsi="Arial" w:cs="Arial"/>
                <w:sz w:val="20"/>
                <w:szCs w:val="20"/>
                <w:lang w:bidi="ar-SA"/>
              </w:rPr>
              <w:t> </w:t>
            </w:r>
            <w:r w:rsidRPr="00937254">
              <w:rPr>
                <w:rFonts w:ascii="Arial" w:eastAsia="Times New Roman" w:hAnsi="Arial" w:cs="Arial"/>
                <w:b/>
                <w:bCs/>
                <w:sz w:val="20"/>
                <w:szCs w:val="20"/>
                <w:lang w:bidi="ar-SA"/>
              </w:rPr>
              <w:t>:</w:t>
            </w:r>
          </w:p>
        </w:tc>
        <w:tc>
          <w:tcPr>
            <w:tcW w:w="0" w:type="auto"/>
            <w:tcBorders>
              <w:top w:val="nil"/>
              <w:left w:val="nil"/>
              <w:bottom w:val="nil"/>
              <w:right w:val="nil"/>
            </w:tcBorders>
            <w:shd w:val="clear" w:color="auto" w:fill="auto"/>
            <w:noWrap/>
            <w:vAlign w:val="bottom"/>
            <w:hideMark/>
          </w:tcPr>
          <w:p w14:paraId="22839913"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2D942A1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81EC8E9"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00E5A5A"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284C0E70" w14:textId="77777777" w:rsidTr="00937254">
        <w:trPr>
          <w:trHeight w:val="300"/>
        </w:trPr>
        <w:tc>
          <w:tcPr>
            <w:tcW w:w="0" w:type="auto"/>
            <w:tcBorders>
              <w:top w:val="nil"/>
              <w:left w:val="nil"/>
              <w:bottom w:val="nil"/>
              <w:right w:val="nil"/>
            </w:tcBorders>
            <w:shd w:val="clear" w:color="auto" w:fill="auto"/>
            <w:vAlign w:val="center"/>
            <w:hideMark/>
          </w:tcPr>
          <w:p w14:paraId="65332CB1"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74668F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33543A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D70ACBE"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69FB769"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333ACB8D" w14:textId="77777777" w:rsidTr="00937254">
        <w:trPr>
          <w:trHeight w:val="300"/>
        </w:trPr>
        <w:tc>
          <w:tcPr>
            <w:tcW w:w="0" w:type="auto"/>
            <w:tcBorders>
              <w:top w:val="nil"/>
              <w:left w:val="nil"/>
              <w:bottom w:val="nil"/>
              <w:right w:val="nil"/>
            </w:tcBorders>
            <w:shd w:val="clear" w:color="auto" w:fill="auto"/>
            <w:vAlign w:val="center"/>
            <w:hideMark/>
          </w:tcPr>
          <w:p w14:paraId="08D2A99F"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Revaluation of fixed assets - Gross</w:t>
            </w:r>
          </w:p>
        </w:tc>
        <w:tc>
          <w:tcPr>
            <w:tcW w:w="0" w:type="auto"/>
            <w:tcBorders>
              <w:top w:val="nil"/>
              <w:left w:val="nil"/>
              <w:bottom w:val="nil"/>
              <w:right w:val="nil"/>
            </w:tcBorders>
            <w:shd w:val="clear" w:color="auto" w:fill="auto"/>
            <w:noWrap/>
            <w:vAlign w:val="bottom"/>
            <w:hideMark/>
          </w:tcPr>
          <w:p w14:paraId="14C1DE74"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6C7FC9A0"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   </w:t>
            </w:r>
          </w:p>
        </w:tc>
        <w:tc>
          <w:tcPr>
            <w:tcW w:w="0" w:type="auto"/>
            <w:tcBorders>
              <w:top w:val="nil"/>
              <w:left w:val="nil"/>
              <w:bottom w:val="nil"/>
              <w:right w:val="nil"/>
            </w:tcBorders>
            <w:shd w:val="clear" w:color="auto" w:fill="auto"/>
            <w:noWrap/>
            <w:vAlign w:val="bottom"/>
            <w:hideMark/>
          </w:tcPr>
          <w:p w14:paraId="7D66F5E2"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71F3DB8E"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6,074,895 </w:t>
            </w:r>
          </w:p>
        </w:tc>
      </w:tr>
      <w:tr w:rsidR="00937254" w:rsidRPr="00937254" w14:paraId="3445CDC9" w14:textId="77777777" w:rsidTr="00937254">
        <w:trPr>
          <w:trHeight w:val="300"/>
        </w:trPr>
        <w:tc>
          <w:tcPr>
            <w:tcW w:w="0" w:type="auto"/>
            <w:tcBorders>
              <w:top w:val="nil"/>
              <w:left w:val="nil"/>
              <w:bottom w:val="nil"/>
              <w:right w:val="nil"/>
            </w:tcBorders>
            <w:shd w:val="clear" w:color="auto" w:fill="auto"/>
            <w:vAlign w:val="center"/>
            <w:hideMark/>
          </w:tcPr>
          <w:p w14:paraId="719FA887"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bottom"/>
            <w:hideMark/>
          </w:tcPr>
          <w:p w14:paraId="151127C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E2EA90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F170E76"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292C96A"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25B923C8" w14:textId="77777777" w:rsidTr="00937254">
        <w:trPr>
          <w:trHeight w:val="510"/>
        </w:trPr>
        <w:tc>
          <w:tcPr>
            <w:tcW w:w="0" w:type="auto"/>
            <w:tcBorders>
              <w:top w:val="nil"/>
              <w:left w:val="nil"/>
              <w:bottom w:val="nil"/>
              <w:right w:val="nil"/>
            </w:tcBorders>
            <w:shd w:val="clear" w:color="auto" w:fill="auto"/>
            <w:vAlign w:val="center"/>
            <w:hideMark/>
          </w:tcPr>
          <w:p w14:paraId="74F46F88"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Total comprehensive income for the period</w:t>
            </w:r>
          </w:p>
        </w:tc>
        <w:tc>
          <w:tcPr>
            <w:tcW w:w="0" w:type="auto"/>
            <w:tcBorders>
              <w:top w:val="nil"/>
              <w:left w:val="nil"/>
              <w:bottom w:val="nil"/>
              <w:right w:val="nil"/>
            </w:tcBorders>
            <w:shd w:val="clear" w:color="auto" w:fill="auto"/>
            <w:noWrap/>
            <w:vAlign w:val="bottom"/>
            <w:hideMark/>
          </w:tcPr>
          <w:p w14:paraId="6067BA9A"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bottom"/>
            <w:hideMark/>
          </w:tcPr>
          <w:p w14:paraId="066E8C1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A007E7B"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0011CC2"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7C240FC9" w14:textId="77777777" w:rsidTr="00937254">
        <w:trPr>
          <w:trHeight w:val="510"/>
        </w:trPr>
        <w:tc>
          <w:tcPr>
            <w:tcW w:w="0" w:type="auto"/>
            <w:tcBorders>
              <w:top w:val="nil"/>
              <w:left w:val="nil"/>
              <w:bottom w:val="nil"/>
              <w:right w:val="nil"/>
            </w:tcBorders>
            <w:shd w:val="clear" w:color="auto" w:fill="auto"/>
            <w:vAlign w:val="center"/>
            <w:hideMark/>
          </w:tcPr>
          <w:p w14:paraId="4A9E794F"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attributable to the equity holders of the parent</w:t>
            </w:r>
          </w:p>
        </w:tc>
        <w:tc>
          <w:tcPr>
            <w:tcW w:w="0" w:type="auto"/>
            <w:tcBorders>
              <w:top w:val="nil"/>
              <w:left w:val="nil"/>
              <w:bottom w:val="nil"/>
              <w:right w:val="nil"/>
            </w:tcBorders>
            <w:shd w:val="clear" w:color="auto" w:fill="auto"/>
            <w:noWrap/>
            <w:vAlign w:val="bottom"/>
            <w:hideMark/>
          </w:tcPr>
          <w:p w14:paraId="3CA0BABE"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7D28EC34"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(16,661,349)</w:t>
            </w:r>
          </w:p>
        </w:tc>
        <w:tc>
          <w:tcPr>
            <w:tcW w:w="0" w:type="auto"/>
            <w:tcBorders>
              <w:top w:val="nil"/>
              <w:left w:val="nil"/>
              <w:bottom w:val="nil"/>
              <w:right w:val="nil"/>
            </w:tcBorders>
            <w:shd w:val="clear" w:color="auto" w:fill="auto"/>
            <w:noWrap/>
            <w:vAlign w:val="bottom"/>
            <w:hideMark/>
          </w:tcPr>
          <w:p w14:paraId="25FA7749"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bottom"/>
            <w:hideMark/>
          </w:tcPr>
          <w:p w14:paraId="14BEF0AE"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(4,334,978)</w:t>
            </w:r>
          </w:p>
        </w:tc>
      </w:tr>
      <w:tr w:rsidR="00937254" w:rsidRPr="00937254" w14:paraId="03FD6A8D" w14:textId="77777777" w:rsidTr="00937254">
        <w:trPr>
          <w:trHeight w:val="510"/>
        </w:trPr>
        <w:tc>
          <w:tcPr>
            <w:tcW w:w="0" w:type="auto"/>
            <w:tcBorders>
              <w:top w:val="nil"/>
              <w:left w:val="nil"/>
              <w:bottom w:val="nil"/>
              <w:right w:val="nil"/>
            </w:tcBorders>
            <w:shd w:val="clear" w:color="auto" w:fill="auto"/>
            <w:vAlign w:val="center"/>
            <w:hideMark/>
          </w:tcPr>
          <w:p w14:paraId="0E7E844A"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Basic and diluted earnings per share</w:t>
            </w:r>
          </w:p>
        </w:tc>
        <w:tc>
          <w:tcPr>
            <w:tcW w:w="0" w:type="auto"/>
            <w:tcBorders>
              <w:top w:val="nil"/>
              <w:left w:val="nil"/>
              <w:bottom w:val="nil"/>
              <w:right w:val="nil"/>
            </w:tcBorders>
            <w:shd w:val="clear" w:color="auto" w:fill="auto"/>
            <w:noWrap/>
            <w:vAlign w:val="bottom"/>
            <w:hideMark/>
          </w:tcPr>
          <w:p w14:paraId="26A5BE83"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hideMark/>
          </w:tcPr>
          <w:p w14:paraId="3F8A60D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3AB1C2E4"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508E73CD"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bl>
    <w:p w14:paraId="4A63F84E" w14:textId="49934621" w:rsidR="006C2A98" w:rsidRDefault="006C2A98" w:rsidP="0089653F">
      <w:pPr>
        <w:tabs>
          <w:tab w:val="left" w:pos="989"/>
        </w:tabs>
        <w:rPr>
          <w:rFonts w:asciiTheme="minorHAnsi" w:hAnsiTheme="minorHAnsi" w:cstheme="minorHAnsi"/>
          <w:sz w:val="20"/>
          <w:szCs w:val="20"/>
        </w:rPr>
      </w:pPr>
    </w:p>
    <w:p w14:paraId="31F632B6" w14:textId="0A6DE4BA" w:rsidR="007600FC" w:rsidRDefault="007600FC" w:rsidP="0089653F">
      <w:pPr>
        <w:tabs>
          <w:tab w:val="left" w:pos="989"/>
        </w:tabs>
        <w:rPr>
          <w:rFonts w:asciiTheme="minorHAnsi" w:hAnsiTheme="minorHAnsi" w:cstheme="minorHAnsi"/>
          <w:sz w:val="20"/>
          <w:szCs w:val="20"/>
        </w:rPr>
      </w:pPr>
    </w:p>
    <w:p w14:paraId="34EC5A29" w14:textId="6A4B9F46" w:rsidR="007600FC" w:rsidRDefault="007600FC" w:rsidP="0089653F">
      <w:pPr>
        <w:tabs>
          <w:tab w:val="left" w:pos="989"/>
        </w:tabs>
        <w:rPr>
          <w:rFonts w:asciiTheme="minorHAnsi" w:hAnsiTheme="minorHAnsi" w:cstheme="minorHAnsi"/>
          <w:sz w:val="20"/>
          <w:szCs w:val="20"/>
        </w:rPr>
      </w:pPr>
    </w:p>
    <w:p w14:paraId="722A2C19" w14:textId="56EABBF5" w:rsidR="007600FC" w:rsidRDefault="007600FC" w:rsidP="0089653F">
      <w:pPr>
        <w:tabs>
          <w:tab w:val="left" w:pos="989"/>
        </w:tabs>
        <w:rPr>
          <w:rFonts w:asciiTheme="minorHAnsi" w:hAnsiTheme="minorHAnsi" w:cstheme="minorHAnsi"/>
          <w:sz w:val="20"/>
          <w:szCs w:val="20"/>
        </w:rPr>
      </w:pPr>
    </w:p>
    <w:p w14:paraId="06399008" w14:textId="77777777" w:rsidR="007600FC" w:rsidRDefault="007600FC" w:rsidP="0089653F">
      <w:pPr>
        <w:tabs>
          <w:tab w:val="left" w:pos="989"/>
        </w:tabs>
        <w:rPr>
          <w:rFonts w:asciiTheme="minorHAnsi" w:hAnsiTheme="minorHAnsi" w:cstheme="minorHAnsi"/>
          <w:sz w:val="20"/>
          <w:szCs w:val="20"/>
        </w:rPr>
      </w:pPr>
    </w:p>
    <w:p w14:paraId="0AD78697" w14:textId="77777777" w:rsidR="006C45AB" w:rsidRPr="00DB2968" w:rsidRDefault="006C45AB" w:rsidP="0089653F">
      <w:pPr>
        <w:tabs>
          <w:tab w:val="left" w:pos="989"/>
        </w:tabs>
        <w:rPr>
          <w:rFonts w:asciiTheme="minorHAnsi" w:hAnsiTheme="minorHAnsi" w:cstheme="minorHAnsi"/>
          <w:sz w:val="20"/>
          <w:szCs w:val="20"/>
        </w:rPr>
      </w:pPr>
    </w:p>
    <w:tbl>
      <w:tblPr>
        <w:tblW w:w="0" w:type="auto"/>
        <w:tblLook w:val="04A0" w:firstRow="1" w:lastRow="0" w:firstColumn="1" w:lastColumn="0" w:noHBand="0" w:noVBand="1"/>
      </w:tblPr>
      <w:tblGrid>
        <w:gridCol w:w="3096"/>
        <w:gridCol w:w="815"/>
        <w:gridCol w:w="1784"/>
        <w:gridCol w:w="243"/>
        <w:gridCol w:w="1795"/>
      </w:tblGrid>
      <w:tr w:rsidR="00937254" w:rsidRPr="00937254" w14:paraId="03E0B578" w14:textId="77777777" w:rsidTr="00937254">
        <w:trPr>
          <w:trHeight w:val="300"/>
        </w:trPr>
        <w:tc>
          <w:tcPr>
            <w:tcW w:w="0" w:type="auto"/>
            <w:gridSpan w:val="4"/>
            <w:tcBorders>
              <w:top w:val="nil"/>
              <w:left w:val="nil"/>
              <w:bottom w:val="nil"/>
              <w:right w:val="nil"/>
            </w:tcBorders>
            <w:shd w:val="clear" w:color="auto" w:fill="auto"/>
            <w:noWrap/>
            <w:vAlign w:val="center"/>
            <w:hideMark/>
          </w:tcPr>
          <w:p w14:paraId="72F25694"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CONSOLIDATED STATEMENT OF FINANCIAL POSITION</w:t>
            </w:r>
          </w:p>
        </w:tc>
        <w:tc>
          <w:tcPr>
            <w:tcW w:w="0" w:type="auto"/>
            <w:tcBorders>
              <w:top w:val="nil"/>
              <w:left w:val="nil"/>
              <w:bottom w:val="nil"/>
              <w:right w:val="nil"/>
            </w:tcBorders>
            <w:shd w:val="clear" w:color="auto" w:fill="auto"/>
            <w:noWrap/>
            <w:vAlign w:val="bottom"/>
            <w:hideMark/>
          </w:tcPr>
          <w:p w14:paraId="55F06F0A"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r>
      <w:tr w:rsidR="00937254" w:rsidRPr="00937254" w14:paraId="517D42BF" w14:textId="77777777" w:rsidTr="00937254">
        <w:trPr>
          <w:trHeight w:val="300"/>
        </w:trPr>
        <w:tc>
          <w:tcPr>
            <w:tcW w:w="0" w:type="auto"/>
            <w:tcBorders>
              <w:top w:val="nil"/>
              <w:left w:val="nil"/>
              <w:bottom w:val="nil"/>
              <w:right w:val="nil"/>
            </w:tcBorders>
            <w:shd w:val="clear" w:color="auto" w:fill="auto"/>
            <w:noWrap/>
            <w:vAlign w:val="center"/>
            <w:hideMark/>
          </w:tcPr>
          <w:p w14:paraId="5E9E601C"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As at 31 JULY 2021</w:t>
            </w:r>
          </w:p>
        </w:tc>
        <w:tc>
          <w:tcPr>
            <w:tcW w:w="0" w:type="auto"/>
            <w:tcBorders>
              <w:top w:val="nil"/>
              <w:left w:val="nil"/>
              <w:bottom w:val="nil"/>
              <w:right w:val="nil"/>
            </w:tcBorders>
            <w:shd w:val="clear" w:color="auto" w:fill="auto"/>
            <w:noWrap/>
            <w:vAlign w:val="bottom"/>
            <w:hideMark/>
          </w:tcPr>
          <w:p w14:paraId="7CD9EFC1"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4FCFBA4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F2AC0C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631D9C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204D3AF" w14:textId="77777777" w:rsidTr="00937254">
        <w:trPr>
          <w:trHeight w:val="300"/>
        </w:trPr>
        <w:tc>
          <w:tcPr>
            <w:tcW w:w="0" w:type="auto"/>
            <w:tcBorders>
              <w:top w:val="nil"/>
              <w:left w:val="nil"/>
              <w:bottom w:val="nil"/>
              <w:right w:val="nil"/>
            </w:tcBorders>
            <w:shd w:val="clear" w:color="auto" w:fill="auto"/>
            <w:noWrap/>
            <w:vAlign w:val="center"/>
            <w:hideMark/>
          </w:tcPr>
          <w:p w14:paraId="4D7678D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506E00B"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03CDDD37" w14:textId="77777777" w:rsidR="00937254" w:rsidRPr="00937254" w:rsidRDefault="00937254" w:rsidP="00937254">
            <w:pPr>
              <w:widowControl/>
              <w:autoSpaceDE/>
              <w:autoSpaceDN/>
              <w:jc w:val="center"/>
              <w:rPr>
                <w:rFonts w:eastAsia="Times New Roman"/>
                <w:b/>
                <w:bCs/>
                <w:color w:val="000000"/>
                <w:lang w:bidi="ar-SA"/>
              </w:rPr>
            </w:pPr>
            <w:r w:rsidRPr="00937254">
              <w:rPr>
                <w:rFonts w:eastAsia="Times New Roman"/>
                <w:b/>
                <w:bCs/>
                <w:color w:val="000000"/>
                <w:lang w:bidi="ar-SA"/>
              </w:rPr>
              <w:t>31 July</w:t>
            </w:r>
          </w:p>
        </w:tc>
        <w:tc>
          <w:tcPr>
            <w:tcW w:w="0" w:type="auto"/>
            <w:tcBorders>
              <w:top w:val="nil"/>
              <w:left w:val="nil"/>
              <w:bottom w:val="nil"/>
              <w:right w:val="nil"/>
            </w:tcBorders>
            <w:shd w:val="clear" w:color="auto" w:fill="auto"/>
            <w:vAlign w:val="center"/>
            <w:hideMark/>
          </w:tcPr>
          <w:p w14:paraId="0BAC4AF2" w14:textId="77777777" w:rsidR="00937254" w:rsidRPr="00937254" w:rsidRDefault="00937254" w:rsidP="00937254">
            <w:pPr>
              <w:widowControl/>
              <w:autoSpaceDE/>
              <w:autoSpaceDN/>
              <w:jc w:val="center"/>
              <w:rPr>
                <w:rFonts w:eastAsia="Times New Roman"/>
                <w:b/>
                <w:bCs/>
                <w:color w:val="000000"/>
                <w:lang w:bidi="ar-SA"/>
              </w:rPr>
            </w:pPr>
          </w:p>
        </w:tc>
        <w:tc>
          <w:tcPr>
            <w:tcW w:w="0" w:type="auto"/>
            <w:tcBorders>
              <w:top w:val="nil"/>
              <w:left w:val="nil"/>
              <w:bottom w:val="nil"/>
              <w:right w:val="nil"/>
            </w:tcBorders>
            <w:shd w:val="clear" w:color="auto" w:fill="auto"/>
            <w:hideMark/>
          </w:tcPr>
          <w:p w14:paraId="6BC3CFB9" w14:textId="77777777" w:rsidR="00937254" w:rsidRPr="00937254" w:rsidRDefault="00937254" w:rsidP="00937254">
            <w:pPr>
              <w:widowControl/>
              <w:autoSpaceDE/>
              <w:autoSpaceDN/>
              <w:jc w:val="center"/>
              <w:rPr>
                <w:rFonts w:eastAsia="Times New Roman"/>
                <w:b/>
                <w:bCs/>
                <w:color w:val="000000"/>
                <w:lang w:bidi="ar-SA"/>
              </w:rPr>
            </w:pPr>
            <w:r w:rsidRPr="00937254">
              <w:rPr>
                <w:rFonts w:eastAsia="Times New Roman"/>
                <w:b/>
                <w:bCs/>
                <w:color w:val="000000"/>
                <w:lang w:bidi="ar-SA"/>
              </w:rPr>
              <w:t>31 July</w:t>
            </w:r>
          </w:p>
        </w:tc>
      </w:tr>
      <w:tr w:rsidR="00937254" w:rsidRPr="00937254" w14:paraId="4C96FE6F" w14:textId="77777777" w:rsidTr="00937254">
        <w:trPr>
          <w:trHeight w:val="300"/>
        </w:trPr>
        <w:tc>
          <w:tcPr>
            <w:tcW w:w="0" w:type="auto"/>
            <w:tcBorders>
              <w:top w:val="nil"/>
              <w:left w:val="nil"/>
              <w:bottom w:val="nil"/>
              <w:right w:val="nil"/>
            </w:tcBorders>
            <w:shd w:val="clear" w:color="auto" w:fill="auto"/>
            <w:noWrap/>
            <w:vAlign w:val="center"/>
            <w:hideMark/>
          </w:tcPr>
          <w:p w14:paraId="1E39B492" w14:textId="77777777" w:rsidR="00937254" w:rsidRPr="00937254" w:rsidRDefault="00937254" w:rsidP="00937254">
            <w:pPr>
              <w:widowControl/>
              <w:autoSpaceDE/>
              <w:autoSpaceDN/>
              <w:jc w:val="center"/>
              <w:rPr>
                <w:rFonts w:eastAsia="Times New Roman"/>
                <w:b/>
                <w:bCs/>
                <w:color w:val="000000"/>
                <w:lang w:bidi="ar-SA"/>
              </w:rPr>
            </w:pPr>
          </w:p>
        </w:tc>
        <w:tc>
          <w:tcPr>
            <w:tcW w:w="0" w:type="auto"/>
            <w:tcBorders>
              <w:top w:val="nil"/>
              <w:left w:val="nil"/>
              <w:bottom w:val="nil"/>
              <w:right w:val="nil"/>
            </w:tcBorders>
            <w:shd w:val="clear" w:color="auto" w:fill="auto"/>
            <w:noWrap/>
            <w:vAlign w:val="bottom"/>
            <w:hideMark/>
          </w:tcPr>
          <w:p w14:paraId="26D11045"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D69E8A1"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2021</w:t>
            </w:r>
          </w:p>
        </w:tc>
        <w:tc>
          <w:tcPr>
            <w:tcW w:w="0" w:type="auto"/>
            <w:tcBorders>
              <w:top w:val="nil"/>
              <w:left w:val="nil"/>
              <w:bottom w:val="nil"/>
              <w:right w:val="nil"/>
            </w:tcBorders>
            <w:shd w:val="clear" w:color="auto" w:fill="auto"/>
            <w:vAlign w:val="center"/>
            <w:hideMark/>
          </w:tcPr>
          <w:p w14:paraId="230E3FDB"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74B48674"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2020</w:t>
            </w:r>
          </w:p>
        </w:tc>
      </w:tr>
      <w:tr w:rsidR="00937254" w:rsidRPr="00937254" w14:paraId="077A25D2" w14:textId="77777777" w:rsidTr="00937254">
        <w:trPr>
          <w:trHeight w:val="300"/>
        </w:trPr>
        <w:tc>
          <w:tcPr>
            <w:tcW w:w="0" w:type="auto"/>
            <w:tcBorders>
              <w:top w:val="nil"/>
              <w:left w:val="nil"/>
              <w:bottom w:val="nil"/>
              <w:right w:val="nil"/>
            </w:tcBorders>
            <w:shd w:val="clear" w:color="auto" w:fill="auto"/>
            <w:noWrap/>
            <w:vAlign w:val="bottom"/>
            <w:hideMark/>
          </w:tcPr>
          <w:p w14:paraId="57ABD08C"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56C7E1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E2E6CDB"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Unaudited</w:t>
            </w:r>
          </w:p>
        </w:tc>
        <w:tc>
          <w:tcPr>
            <w:tcW w:w="0" w:type="auto"/>
            <w:tcBorders>
              <w:top w:val="nil"/>
              <w:left w:val="nil"/>
              <w:bottom w:val="nil"/>
              <w:right w:val="nil"/>
            </w:tcBorders>
            <w:shd w:val="clear" w:color="auto" w:fill="auto"/>
            <w:vAlign w:val="center"/>
            <w:hideMark/>
          </w:tcPr>
          <w:p w14:paraId="3612FD6D"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11911FB5"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Audited</w:t>
            </w:r>
          </w:p>
        </w:tc>
      </w:tr>
      <w:tr w:rsidR="00937254" w:rsidRPr="00937254" w14:paraId="2D9E9457" w14:textId="77777777" w:rsidTr="00937254">
        <w:trPr>
          <w:trHeight w:val="300"/>
        </w:trPr>
        <w:tc>
          <w:tcPr>
            <w:tcW w:w="0" w:type="auto"/>
            <w:tcBorders>
              <w:top w:val="nil"/>
              <w:left w:val="nil"/>
              <w:bottom w:val="nil"/>
              <w:right w:val="nil"/>
            </w:tcBorders>
            <w:shd w:val="clear" w:color="auto" w:fill="auto"/>
            <w:noWrap/>
            <w:vAlign w:val="bottom"/>
            <w:hideMark/>
          </w:tcPr>
          <w:p w14:paraId="74098C34"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2D549975"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Notes</w:t>
            </w:r>
          </w:p>
        </w:tc>
        <w:tc>
          <w:tcPr>
            <w:tcW w:w="0" w:type="auto"/>
            <w:tcBorders>
              <w:top w:val="nil"/>
              <w:left w:val="nil"/>
              <w:bottom w:val="nil"/>
              <w:right w:val="nil"/>
            </w:tcBorders>
            <w:shd w:val="clear" w:color="auto" w:fill="auto"/>
            <w:noWrap/>
            <w:vAlign w:val="bottom"/>
            <w:hideMark/>
          </w:tcPr>
          <w:p w14:paraId="218FED01" w14:textId="77777777" w:rsidR="00937254" w:rsidRPr="00937254" w:rsidRDefault="00937254" w:rsidP="00937254">
            <w:pPr>
              <w:widowControl/>
              <w:autoSpaceDE/>
              <w:autoSpaceDN/>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14:paraId="29840E7D"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A2CA40E"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r>
      <w:tr w:rsidR="00937254" w:rsidRPr="00937254" w14:paraId="72922109" w14:textId="77777777" w:rsidTr="00937254">
        <w:trPr>
          <w:trHeight w:val="300"/>
        </w:trPr>
        <w:tc>
          <w:tcPr>
            <w:tcW w:w="0" w:type="auto"/>
            <w:tcBorders>
              <w:top w:val="nil"/>
              <w:left w:val="nil"/>
              <w:bottom w:val="nil"/>
              <w:right w:val="nil"/>
            </w:tcBorders>
            <w:shd w:val="clear" w:color="auto" w:fill="auto"/>
            <w:vAlign w:val="center"/>
            <w:hideMark/>
          </w:tcPr>
          <w:p w14:paraId="37AD8C9F"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7F8806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3621A8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c>
          <w:tcPr>
            <w:tcW w:w="0" w:type="auto"/>
            <w:tcBorders>
              <w:top w:val="nil"/>
              <w:left w:val="nil"/>
              <w:bottom w:val="nil"/>
              <w:right w:val="nil"/>
            </w:tcBorders>
            <w:shd w:val="clear" w:color="auto" w:fill="auto"/>
            <w:noWrap/>
            <w:vAlign w:val="bottom"/>
            <w:hideMark/>
          </w:tcPr>
          <w:p w14:paraId="55A0683C"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05CBB2AC"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r>
      <w:tr w:rsidR="00937254" w:rsidRPr="00937254" w14:paraId="19E24CE5" w14:textId="77777777" w:rsidTr="00937254">
        <w:trPr>
          <w:trHeight w:val="300"/>
        </w:trPr>
        <w:tc>
          <w:tcPr>
            <w:tcW w:w="0" w:type="auto"/>
            <w:tcBorders>
              <w:top w:val="nil"/>
              <w:left w:val="nil"/>
              <w:bottom w:val="nil"/>
              <w:right w:val="nil"/>
            </w:tcBorders>
            <w:shd w:val="clear" w:color="auto" w:fill="auto"/>
            <w:vAlign w:val="center"/>
            <w:hideMark/>
          </w:tcPr>
          <w:p w14:paraId="6B0A4B15"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Non-current assets</w:t>
            </w:r>
          </w:p>
        </w:tc>
        <w:tc>
          <w:tcPr>
            <w:tcW w:w="0" w:type="auto"/>
            <w:tcBorders>
              <w:top w:val="nil"/>
              <w:left w:val="nil"/>
              <w:bottom w:val="nil"/>
              <w:right w:val="nil"/>
            </w:tcBorders>
            <w:shd w:val="clear" w:color="auto" w:fill="auto"/>
            <w:noWrap/>
            <w:vAlign w:val="bottom"/>
            <w:hideMark/>
          </w:tcPr>
          <w:p w14:paraId="04EF455E"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6A44C77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6BA41EE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1242707E"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r>
      <w:tr w:rsidR="00937254" w:rsidRPr="00937254" w14:paraId="0FB47242" w14:textId="77777777" w:rsidTr="00937254">
        <w:trPr>
          <w:trHeight w:val="300"/>
        </w:trPr>
        <w:tc>
          <w:tcPr>
            <w:tcW w:w="0" w:type="auto"/>
            <w:tcBorders>
              <w:top w:val="nil"/>
              <w:left w:val="nil"/>
              <w:bottom w:val="nil"/>
              <w:right w:val="nil"/>
            </w:tcBorders>
            <w:shd w:val="clear" w:color="auto" w:fill="auto"/>
            <w:vAlign w:val="center"/>
            <w:hideMark/>
          </w:tcPr>
          <w:p w14:paraId="19ACACBC"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Intangible fixed assets</w:t>
            </w:r>
          </w:p>
        </w:tc>
        <w:tc>
          <w:tcPr>
            <w:tcW w:w="0" w:type="auto"/>
            <w:tcBorders>
              <w:top w:val="nil"/>
              <w:left w:val="nil"/>
              <w:bottom w:val="nil"/>
              <w:right w:val="nil"/>
            </w:tcBorders>
            <w:shd w:val="clear" w:color="auto" w:fill="auto"/>
            <w:vAlign w:val="center"/>
            <w:hideMark/>
          </w:tcPr>
          <w:p w14:paraId="106B5CFA"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3</w:t>
            </w:r>
          </w:p>
        </w:tc>
        <w:tc>
          <w:tcPr>
            <w:tcW w:w="0" w:type="auto"/>
            <w:tcBorders>
              <w:top w:val="nil"/>
              <w:left w:val="nil"/>
              <w:bottom w:val="nil"/>
              <w:right w:val="nil"/>
            </w:tcBorders>
            <w:shd w:val="clear" w:color="auto" w:fill="auto"/>
            <w:vAlign w:val="center"/>
            <w:hideMark/>
          </w:tcPr>
          <w:p w14:paraId="01DA8A8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11,831,144 </w:t>
            </w:r>
          </w:p>
        </w:tc>
        <w:tc>
          <w:tcPr>
            <w:tcW w:w="0" w:type="auto"/>
            <w:tcBorders>
              <w:top w:val="nil"/>
              <w:left w:val="nil"/>
              <w:bottom w:val="nil"/>
              <w:right w:val="nil"/>
            </w:tcBorders>
            <w:shd w:val="clear" w:color="auto" w:fill="auto"/>
            <w:noWrap/>
            <w:hideMark/>
          </w:tcPr>
          <w:p w14:paraId="3801679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8EFB9B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11,206,831 </w:t>
            </w:r>
          </w:p>
        </w:tc>
      </w:tr>
      <w:tr w:rsidR="00937254" w:rsidRPr="00937254" w14:paraId="1570E091" w14:textId="77777777" w:rsidTr="00937254">
        <w:trPr>
          <w:trHeight w:val="510"/>
        </w:trPr>
        <w:tc>
          <w:tcPr>
            <w:tcW w:w="0" w:type="auto"/>
            <w:tcBorders>
              <w:top w:val="nil"/>
              <w:left w:val="nil"/>
              <w:bottom w:val="nil"/>
              <w:right w:val="nil"/>
            </w:tcBorders>
            <w:shd w:val="clear" w:color="auto" w:fill="auto"/>
            <w:vAlign w:val="center"/>
            <w:hideMark/>
          </w:tcPr>
          <w:p w14:paraId="188FFA1D"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Property, </w:t>
            </w:r>
            <w:proofErr w:type="gramStart"/>
            <w:r w:rsidRPr="00937254">
              <w:rPr>
                <w:rFonts w:ascii="Arial" w:eastAsia="Times New Roman" w:hAnsi="Arial" w:cs="Arial"/>
                <w:color w:val="000000"/>
                <w:sz w:val="20"/>
                <w:szCs w:val="20"/>
                <w:lang w:bidi="ar-SA"/>
              </w:rPr>
              <w:t>plant</w:t>
            </w:r>
            <w:proofErr w:type="gramEnd"/>
            <w:r w:rsidRPr="00937254">
              <w:rPr>
                <w:rFonts w:ascii="Arial" w:eastAsia="Times New Roman" w:hAnsi="Arial" w:cs="Arial"/>
                <w:color w:val="000000"/>
                <w:sz w:val="20"/>
                <w:szCs w:val="20"/>
                <w:lang w:bidi="ar-SA"/>
              </w:rPr>
              <w:t xml:space="preserve"> and equipment  </w:t>
            </w:r>
            <w:r w:rsidRPr="00937254">
              <w:rPr>
                <w:rFonts w:ascii="Arial" w:eastAsia="Times New Roman" w:hAnsi="Arial" w:cs="Arial"/>
                <w:color w:val="008080"/>
                <w:sz w:val="20"/>
                <w:szCs w:val="20"/>
                <w:u w:val="single"/>
                <w:lang w:bidi="ar-SA"/>
              </w:rPr>
              <w:t xml:space="preserve">                  </w:t>
            </w:r>
          </w:p>
        </w:tc>
        <w:tc>
          <w:tcPr>
            <w:tcW w:w="0" w:type="auto"/>
            <w:tcBorders>
              <w:top w:val="nil"/>
              <w:left w:val="nil"/>
              <w:bottom w:val="nil"/>
              <w:right w:val="nil"/>
            </w:tcBorders>
            <w:shd w:val="clear" w:color="auto" w:fill="auto"/>
            <w:vAlign w:val="center"/>
            <w:hideMark/>
          </w:tcPr>
          <w:p w14:paraId="667ADD7C"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4</w:t>
            </w:r>
          </w:p>
        </w:tc>
        <w:tc>
          <w:tcPr>
            <w:tcW w:w="0" w:type="auto"/>
            <w:tcBorders>
              <w:top w:val="nil"/>
              <w:left w:val="nil"/>
              <w:bottom w:val="nil"/>
              <w:right w:val="nil"/>
            </w:tcBorders>
            <w:shd w:val="clear" w:color="auto" w:fill="auto"/>
            <w:vAlign w:val="center"/>
            <w:hideMark/>
          </w:tcPr>
          <w:p w14:paraId="128FCBA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22,591,263 </w:t>
            </w:r>
          </w:p>
        </w:tc>
        <w:tc>
          <w:tcPr>
            <w:tcW w:w="0" w:type="auto"/>
            <w:tcBorders>
              <w:top w:val="nil"/>
              <w:left w:val="nil"/>
              <w:bottom w:val="nil"/>
              <w:right w:val="nil"/>
            </w:tcBorders>
            <w:shd w:val="clear" w:color="auto" w:fill="auto"/>
            <w:noWrap/>
            <w:hideMark/>
          </w:tcPr>
          <w:p w14:paraId="31852EF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D68B83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19,080,113 </w:t>
            </w:r>
          </w:p>
        </w:tc>
      </w:tr>
      <w:tr w:rsidR="00937254" w:rsidRPr="00937254" w14:paraId="6A25C419" w14:textId="77777777" w:rsidTr="00937254">
        <w:trPr>
          <w:trHeight w:val="300"/>
        </w:trPr>
        <w:tc>
          <w:tcPr>
            <w:tcW w:w="0" w:type="auto"/>
            <w:tcBorders>
              <w:top w:val="nil"/>
              <w:left w:val="nil"/>
              <w:bottom w:val="nil"/>
              <w:right w:val="nil"/>
            </w:tcBorders>
            <w:shd w:val="clear" w:color="auto" w:fill="auto"/>
            <w:vAlign w:val="center"/>
            <w:hideMark/>
          </w:tcPr>
          <w:p w14:paraId="2663DD70"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Right of Use</w:t>
            </w:r>
          </w:p>
        </w:tc>
        <w:tc>
          <w:tcPr>
            <w:tcW w:w="0" w:type="auto"/>
            <w:tcBorders>
              <w:top w:val="nil"/>
              <w:left w:val="nil"/>
              <w:bottom w:val="nil"/>
              <w:right w:val="nil"/>
            </w:tcBorders>
            <w:shd w:val="clear" w:color="auto" w:fill="auto"/>
            <w:vAlign w:val="center"/>
            <w:hideMark/>
          </w:tcPr>
          <w:p w14:paraId="6032E575"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4</w:t>
            </w:r>
          </w:p>
        </w:tc>
        <w:tc>
          <w:tcPr>
            <w:tcW w:w="0" w:type="auto"/>
            <w:tcBorders>
              <w:top w:val="nil"/>
              <w:left w:val="nil"/>
              <w:bottom w:val="nil"/>
              <w:right w:val="nil"/>
            </w:tcBorders>
            <w:shd w:val="clear" w:color="auto" w:fill="auto"/>
            <w:vAlign w:val="center"/>
            <w:hideMark/>
          </w:tcPr>
          <w:p w14:paraId="1B99963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13,268,220 </w:t>
            </w:r>
          </w:p>
        </w:tc>
        <w:tc>
          <w:tcPr>
            <w:tcW w:w="0" w:type="auto"/>
            <w:tcBorders>
              <w:top w:val="nil"/>
              <w:left w:val="nil"/>
              <w:bottom w:val="nil"/>
              <w:right w:val="nil"/>
            </w:tcBorders>
            <w:shd w:val="clear" w:color="auto" w:fill="auto"/>
            <w:noWrap/>
            <w:hideMark/>
          </w:tcPr>
          <w:p w14:paraId="6E23A3B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84CECD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6,327,658 </w:t>
            </w:r>
          </w:p>
        </w:tc>
      </w:tr>
      <w:tr w:rsidR="00937254" w:rsidRPr="00937254" w14:paraId="1414A104" w14:textId="77777777" w:rsidTr="00937254">
        <w:trPr>
          <w:trHeight w:val="90"/>
        </w:trPr>
        <w:tc>
          <w:tcPr>
            <w:tcW w:w="0" w:type="auto"/>
            <w:tcBorders>
              <w:top w:val="nil"/>
              <w:left w:val="nil"/>
              <w:bottom w:val="nil"/>
              <w:right w:val="nil"/>
            </w:tcBorders>
            <w:shd w:val="clear" w:color="auto" w:fill="auto"/>
            <w:vAlign w:val="center"/>
            <w:hideMark/>
          </w:tcPr>
          <w:p w14:paraId="45E0D96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E0255CF"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single" w:sz="8" w:space="0" w:color="000000"/>
              <w:right w:val="nil"/>
            </w:tcBorders>
            <w:shd w:val="clear" w:color="auto" w:fill="auto"/>
            <w:vAlign w:val="center"/>
            <w:hideMark/>
          </w:tcPr>
          <w:p w14:paraId="1AA2C1E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noWrap/>
            <w:hideMark/>
          </w:tcPr>
          <w:p w14:paraId="70F5EE1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25BB0DF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4D76D1F4" w14:textId="77777777" w:rsidTr="00937254">
        <w:trPr>
          <w:trHeight w:val="315"/>
        </w:trPr>
        <w:tc>
          <w:tcPr>
            <w:tcW w:w="0" w:type="auto"/>
            <w:tcBorders>
              <w:top w:val="nil"/>
              <w:left w:val="nil"/>
              <w:bottom w:val="nil"/>
              <w:right w:val="nil"/>
            </w:tcBorders>
            <w:shd w:val="clear" w:color="auto" w:fill="auto"/>
            <w:vAlign w:val="center"/>
            <w:hideMark/>
          </w:tcPr>
          <w:p w14:paraId="7671E4D3"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Total non-current assets</w:t>
            </w:r>
          </w:p>
        </w:tc>
        <w:tc>
          <w:tcPr>
            <w:tcW w:w="0" w:type="auto"/>
            <w:tcBorders>
              <w:top w:val="nil"/>
              <w:left w:val="nil"/>
              <w:bottom w:val="nil"/>
              <w:right w:val="nil"/>
            </w:tcBorders>
            <w:shd w:val="clear" w:color="auto" w:fill="auto"/>
            <w:vAlign w:val="center"/>
            <w:hideMark/>
          </w:tcPr>
          <w:p w14:paraId="0A6472B5"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4A914D9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47,690,627 </w:t>
            </w:r>
          </w:p>
        </w:tc>
        <w:tc>
          <w:tcPr>
            <w:tcW w:w="0" w:type="auto"/>
            <w:tcBorders>
              <w:top w:val="nil"/>
              <w:left w:val="nil"/>
              <w:bottom w:val="nil"/>
              <w:right w:val="nil"/>
            </w:tcBorders>
            <w:shd w:val="clear" w:color="auto" w:fill="auto"/>
            <w:noWrap/>
            <w:hideMark/>
          </w:tcPr>
          <w:p w14:paraId="435975E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5A0D5B5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36,614,602 </w:t>
            </w:r>
          </w:p>
        </w:tc>
      </w:tr>
      <w:tr w:rsidR="00937254" w:rsidRPr="00937254" w14:paraId="0D596221" w14:textId="77777777" w:rsidTr="00937254">
        <w:trPr>
          <w:trHeight w:val="300"/>
        </w:trPr>
        <w:tc>
          <w:tcPr>
            <w:tcW w:w="0" w:type="auto"/>
            <w:tcBorders>
              <w:top w:val="nil"/>
              <w:left w:val="nil"/>
              <w:bottom w:val="nil"/>
              <w:right w:val="nil"/>
            </w:tcBorders>
            <w:shd w:val="clear" w:color="auto" w:fill="auto"/>
            <w:vAlign w:val="center"/>
            <w:hideMark/>
          </w:tcPr>
          <w:p w14:paraId="62616F4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center"/>
            <w:hideMark/>
          </w:tcPr>
          <w:p w14:paraId="4EF7F23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val="restart"/>
            <w:tcBorders>
              <w:top w:val="nil"/>
              <w:left w:val="nil"/>
              <w:bottom w:val="nil"/>
              <w:right w:val="nil"/>
            </w:tcBorders>
            <w:shd w:val="clear" w:color="auto" w:fill="auto"/>
            <w:vAlign w:val="center"/>
            <w:hideMark/>
          </w:tcPr>
          <w:p w14:paraId="191494A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auto" w:fill="auto"/>
            <w:noWrap/>
            <w:hideMark/>
          </w:tcPr>
          <w:p w14:paraId="4598A97B"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p>
        </w:tc>
        <w:tc>
          <w:tcPr>
            <w:tcW w:w="0" w:type="auto"/>
            <w:vMerge w:val="restart"/>
            <w:tcBorders>
              <w:top w:val="nil"/>
              <w:left w:val="nil"/>
              <w:bottom w:val="nil"/>
              <w:right w:val="nil"/>
            </w:tcBorders>
            <w:shd w:val="clear" w:color="auto" w:fill="auto"/>
            <w:vAlign w:val="center"/>
            <w:hideMark/>
          </w:tcPr>
          <w:p w14:paraId="0CAABE7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r>
      <w:tr w:rsidR="00937254" w:rsidRPr="00937254" w14:paraId="0C53777D" w14:textId="77777777" w:rsidTr="00937254">
        <w:trPr>
          <w:trHeight w:val="300"/>
        </w:trPr>
        <w:tc>
          <w:tcPr>
            <w:tcW w:w="0" w:type="auto"/>
            <w:tcBorders>
              <w:top w:val="nil"/>
              <w:left w:val="nil"/>
              <w:bottom w:val="nil"/>
              <w:right w:val="nil"/>
            </w:tcBorders>
            <w:shd w:val="clear" w:color="auto" w:fill="auto"/>
            <w:vAlign w:val="center"/>
            <w:hideMark/>
          </w:tcPr>
          <w:p w14:paraId="39163460"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Current assets</w:t>
            </w:r>
          </w:p>
        </w:tc>
        <w:tc>
          <w:tcPr>
            <w:tcW w:w="0" w:type="auto"/>
            <w:tcBorders>
              <w:top w:val="nil"/>
              <w:left w:val="nil"/>
              <w:bottom w:val="nil"/>
              <w:right w:val="nil"/>
            </w:tcBorders>
            <w:shd w:val="clear" w:color="auto" w:fill="auto"/>
            <w:noWrap/>
            <w:vAlign w:val="center"/>
            <w:hideMark/>
          </w:tcPr>
          <w:p w14:paraId="23E41D0B"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vMerge/>
            <w:tcBorders>
              <w:top w:val="nil"/>
              <w:left w:val="nil"/>
              <w:bottom w:val="nil"/>
              <w:right w:val="nil"/>
            </w:tcBorders>
            <w:vAlign w:val="center"/>
            <w:hideMark/>
          </w:tcPr>
          <w:p w14:paraId="013B047E"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c>
          <w:tcPr>
            <w:tcW w:w="0" w:type="auto"/>
            <w:tcBorders>
              <w:top w:val="nil"/>
              <w:left w:val="nil"/>
              <w:bottom w:val="nil"/>
              <w:right w:val="nil"/>
            </w:tcBorders>
            <w:shd w:val="clear" w:color="auto" w:fill="auto"/>
            <w:noWrap/>
            <w:hideMark/>
          </w:tcPr>
          <w:p w14:paraId="502812E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tcBorders>
              <w:top w:val="nil"/>
              <w:left w:val="nil"/>
              <w:bottom w:val="nil"/>
              <w:right w:val="nil"/>
            </w:tcBorders>
            <w:vAlign w:val="center"/>
            <w:hideMark/>
          </w:tcPr>
          <w:p w14:paraId="2C6A7D3E"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r>
      <w:tr w:rsidR="00937254" w:rsidRPr="00937254" w14:paraId="6FC9896D" w14:textId="77777777" w:rsidTr="00937254">
        <w:trPr>
          <w:trHeight w:val="300"/>
        </w:trPr>
        <w:tc>
          <w:tcPr>
            <w:tcW w:w="0" w:type="auto"/>
            <w:tcBorders>
              <w:top w:val="nil"/>
              <w:left w:val="nil"/>
              <w:bottom w:val="nil"/>
              <w:right w:val="nil"/>
            </w:tcBorders>
            <w:shd w:val="clear" w:color="auto" w:fill="auto"/>
            <w:vAlign w:val="center"/>
            <w:hideMark/>
          </w:tcPr>
          <w:p w14:paraId="791BA038"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Inventories</w:t>
            </w:r>
          </w:p>
        </w:tc>
        <w:tc>
          <w:tcPr>
            <w:tcW w:w="0" w:type="auto"/>
            <w:tcBorders>
              <w:top w:val="nil"/>
              <w:left w:val="nil"/>
              <w:bottom w:val="nil"/>
              <w:right w:val="nil"/>
            </w:tcBorders>
            <w:shd w:val="clear" w:color="auto" w:fill="auto"/>
            <w:vAlign w:val="center"/>
            <w:hideMark/>
          </w:tcPr>
          <w:p w14:paraId="33DE6BD2"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76DB2B4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267,983 </w:t>
            </w:r>
          </w:p>
        </w:tc>
        <w:tc>
          <w:tcPr>
            <w:tcW w:w="0" w:type="auto"/>
            <w:tcBorders>
              <w:top w:val="nil"/>
              <w:left w:val="nil"/>
              <w:bottom w:val="nil"/>
              <w:right w:val="nil"/>
            </w:tcBorders>
            <w:shd w:val="clear" w:color="auto" w:fill="auto"/>
            <w:noWrap/>
            <w:hideMark/>
          </w:tcPr>
          <w:p w14:paraId="51185AB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E5E395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331,465 </w:t>
            </w:r>
          </w:p>
        </w:tc>
      </w:tr>
      <w:tr w:rsidR="00937254" w:rsidRPr="00937254" w14:paraId="44247413" w14:textId="77777777" w:rsidTr="00937254">
        <w:trPr>
          <w:trHeight w:val="300"/>
        </w:trPr>
        <w:tc>
          <w:tcPr>
            <w:tcW w:w="0" w:type="auto"/>
            <w:tcBorders>
              <w:top w:val="nil"/>
              <w:left w:val="nil"/>
              <w:bottom w:val="nil"/>
              <w:right w:val="nil"/>
            </w:tcBorders>
            <w:shd w:val="clear" w:color="auto" w:fill="auto"/>
            <w:vAlign w:val="center"/>
            <w:hideMark/>
          </w:tcPr>
          <w:p w14:paraId="21AA12DC"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Trade and other receivables</w:t>
            </w:r>
          </w:p>
        </w:tc>
        <w:tc>
          <w:tcPr>
            <w:tcW w:w="0" w:type="auto"/>
            <w:tcBorders>
              <w:top w:val="nil"/>
              <w:left w:val="nil"/>
              <w:bottom w:val="nil"/>
              <w:right w:val="nil"/>
            </w:tcBorders>
            <w:shd w:val="clear" w:color="auto" w:fill="auto"/>
            <w:vAlign w:val="center"/>
            <w:hideMark/>
          </w:tcPr>
          <w:p w14:paraId="14A249EE"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5</w:t>
            </w:r>
          </w:p>
        </w:tc>
        <w:tc>
          <w:tcPr>
            <w:tcW w:w="0" w:type="auto"/>
            <w:tcBorders>
              <w:top w:val="nil"/>
              <w:left w:val="nil"/>
              <w:bottom w:val="nil"/>
              <w:right w:val="nil"/>
            </w:tcBorders>
            <w:shd w:val="clear" w:color="auto" w:fill="auto"/>
            <w:vAlign w:val="center"/>
            <w:hideMark/>
          </w:tcPr>
          <w:p w14:paraId="30FAF84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3,657,152 </w:t>
            </w:r>
          </w:p>
        </w:tc>
        <w:tc>
          <w:tcPr>
            <w:tcW w:w="0" w:type="auto"/>
            <w:tcBorders>
              <w:top w:val="nil"/>
              <w:left w:val="nil"/>
              <w:bottom w:val="nil"/>
              <w:right w:val="nil"/>
            </w:tcBorders>
            <w:shd w:val="clear" w:color="auto" w:fill="auto"/>
            <w:noWrap/>
            <w:hideMark/>
          </w:tcPr>
          <w:p w14:paraId="27141E0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49CFCE2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1,933,254 </w:t>
            </w:r>
          </w:p>
        </w:tc>
      </w:tr>
      <w:tr w:rsidR="00937254" w:rsidRPr="00937254" w14:paraId="5F632739" w14:textId="77777777" w:rsidTr="00937254">
        <w:trPr>
          <w:trHeight w:val="300"/>
        </w:trPr>
        <w:tc>
          <w:tcPr>
            <w:tcW w:w="0" w:type="auto"/>
            <w:tcBorders>
              <w:top w:val="nil"/>
              <w:left w:val="nil"/>
              <w:bottom w:val="nil"/>
              <w:right w:val="nil"/>
            </w:tcBorders>
            <w:shd w:val="clear" w:color="auto" w:fill="auto"/>
            <w:vAlign w:val="center"/>
            <w:hideMark/>
          </w:tcPr>
          <w:p w14:paraId="4585E8CD"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Cash &amp; cash equivalents</w:t>
            </w:r>
          </w:p>
        </w:tc>
        <w:tc>
          <w:tcPr>
            <w:tcW w:w="0" w:type="auto"/>
            <w:tcBorders>
              <w:top w:val="nil"/>
              <w:left w:val="nil"/>
              <w:bottom w:val="nil"/>
              <w:right w:val="nil"/>
            </w:tcBorders>
            <w:shd w:val="clear" w:color="auto" w:fill="auto"/>
            <w:vAlign w:val="center"/>
            <w:hideMark/>
          </w:tcPr>
          <w:p w14:paraId="3D40C987"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79801DB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4,837,793 </w:t>
            </w:r>
          </w:p>
        </w:tc>
        <w:tc>
          <w:tcPr>
            <w:tcW w:w="0" w:type="auto"/>
            <w:tcBorders>
              <w:top w:val="nil"/>
              <w:left w:val="nil"/>
              <w:bottom w:val="nil"/>
              <w:right w:val="nil"/>
            </w:tcBorders>
            <w:shd w:val="clear" w:color="auto" w:fill="auto"/>
            <w:noWrap/>
            <w:hideMark/>
          </w:tcPr>
          <w:p w14:paraId="43005E2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029D1D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6,723,236 </w:t>
            </w:r>
          </w:p>
        </w:tc>
      </w:tr>
      <w:tr w:rsidR="00937254" w:rsidRPr="00937254" w14:paraId="5852B886" w14:textId="77777777" w:rsidTr="00937254">
        <w:trPr>
          <w:trHeight w:val="90"/>
        </w:trPr>
        <w:tc>
          <w:tcPr>
            <w:tcW w:w="0" w:type="auto"/>
            <w:tcBorders>
              <w:top w:val="nil"/>
              <w:left w:val="nil"/>
              <w:bottom w:val="nil"/>
              <w:right w:val="nil"/>
            </w:tcBorders>
            <w:shd w:val="clear" w:color="auto" w:fill="auto"/>
            <w:vAlign w:val="center"/>
            <w:hideMark/>
          </w:tcPr>
          <w:p w14:paraId="79E4AFE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53D960C"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single" w:sz="8" w:space="0" w:color="000000"/>
              <w:right w:val="nil"/>
            </w:tcBorders>
            <w:shd w:val="clear" w:color="auto" w:fill="auto"/>
            <w:vAlign w:val="center"/>
            <w:hideMark/>
          </w:tcPr>
          <w:p w14:paraId="36B235E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noWrap/>
            <w:hideMark/>
          </w:tcPr>
          <w:p w14:paraId="6DC9EBA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76633E1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0A24CCD7" w14:textId="77777777" w:rsidTr="00937254">
        <w:trPr>
          <w:trHeight w:val="315"/>
        </w:trPr>
        <w:tc>
          <w:tcPr>
            <w:tcW w:w="0" w:type="auto"/>
            <w:tcBorders>
              <w:top w:val="nil"/>
              <w:left w:val="nil"/>
              <w:bottom w:val="nil"/>
              <w:right w:val="nil"/>
            </w:tcBorders>
            <w:shd w:val="clear" w:color="auto" w:fill="auto"/>
            <w:vAlign w:val="center"/>
            <w:hideMark/>
          </w:tcPr>
          <w:p w14:paraId="787DCC5C"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Total current assets</w:t>
            </w:r>
          </w:p>
        </w:tc>
        <w:tc>
          <w:tcPr>
            <w:tcW w:w="0" w:type="auto"/>
            <w:tcBorders>
              <w:top w:val="nil"/>
              <w:left w:val="nil"/>
              <w:bottom w:val="nil"/>
              <w:right w:val="nil"/>
            </w:tcBorders>
            <w:shd w:val="clear" w:color="auto" w:fill="auto"/>
            <w:vAlign w:val="center"/>
            <w:hideMark/>
          </w:tcPr>
          <w:p w14:paraId="0D15E3E7"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1BD4DFC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8,762,928 </w:t>
            </w:r>
          </w:p>
        </w:tc>
        <w:tc>
          <w:tcPr>
            <w:tcW w:w="0" w:type="auto"/>
            <w:tcBorders>
              <w:top w:val="nil"/>
              <w:left w:val="nil"/>
              <w:bottom w:val="nil"/>
              <w:right w:val="nil"/>
            </w:tcBorders>
            <w:shd w:val="clear" w:color="auto" w:fill="auto"/>
            <w:noWrap/>
            <w:hideMark/>
          </w:tcPr>
          <w:p w14:paraId="5099740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2A04831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8,987,955 </w:t>
            </w:r>
          </w:p>
        </w:tc>
      </w:tr>
      <w:tr w:rsidR="00937254" w:rsidRPr="00937254" w14:paraId="233EC437" w14:textId="77777777" w:rsidTr="00937254">
        <w:trPr>
          <w:trHeight w:val="300"/>
        </w:trPr>
        <w:tc>
          <w:tcPr>
            <w:tcW w:w="0" w:type="auto"/>
            <w:tcBorders>
              <w:top w:val="nil"/>
              <w:left w:val="nil"/>
              <w:bottom w:val="nil"/>
              <w:right w:val="nil"/>
            </w:tcBorders>
            <w:shd w:val="clear" w:color="auto" w:fill="auto"/>
            <w:vAlign w:val="center"/>
            <w:hideMark/>
          </w:tcPr>
          <w:p w14:paraId="40D3074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vMerge w:val="restart"/>
            <w:tcBorders>
              <w:top w:val="nil"/>
              <w:left w:val="nil"/>
              <w:bottom w:val="nil"/>
              <w:right w:val="nil"/>
            </w:tcBorders>
            <w:shd w:val="clear" w:color="auto" w:fill="auto"/>
            <w:vAlign w:val="center"/>
            <w:hideMark/>
          </w:tcPr>
          <w:p w14:paraId="7ACB315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val="restart"/>
            <w:tcBorders>
              <w:top w:val="nil"/>
              <w:left w:val="nil"/>
              <w:bottom w:val="nil"/>
              <w:right w:val="nil"/>
            </w:tcBorders>
            <w:shd w:val="clear" w:color="auto" w:fill="auto"/>
            <w:vAlign w:val="center"/>
            <w:hideMark/>
          </w:tcPr>
          <w:p w14:paraId="602FDA4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auto" w:fill="auto"/>
            <w:noWrap/>
            <w:hideMark/>
          </w:tcPr>
          <w:p w14:paraId="26D688C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p>
        </w:tc>
        <w:tc>
          <w:tcPr>
            <w:tcW w:w="0" w:type="auto"/>
            <w:vMerge w:val="restart"/>
            <w:tcBorders>
              <w:top w:val="nil"/>
              <w:left w:val="nil"/>
              <w:bottom w:val="nil"/>
              <w:right w:val="nil"/>
            </w:tcBorders>
            <w:shd w:val="clear" w:color="auto" w:fill="auto"/>
            <w:vAlign w:val="center"/>
            <w:hideMark/>
          </w:tcPr>
          <w:p w14:paraId="0F49F4B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r>
      <w:tr w:rsidR="00937254" w:rsidRPr="00937254" w14:paraId="1F924B6B" w14:textId="77777777" w:rsidTr="00937254">
        <w:trPr>
          <w:trHeight w:val="300"/>
        </w:trPr>
        <w:tc>
          <w:tcPr>
            <w:tcW w:w="0" w:type="auto"/>
            <w:tcBorders>
              <w:top w:val="nil"/>
              <w:left w:val="nil"/>
              <w:bottom w:val="nil"/>
              <w:right w:val="nil"/>
            </w:tcBorders>
            <w:shd w:val="clear" w:color="auto" w:fill="auto"/>
            <w:vAlign w:val="center"/>
            <w:hideMark/>
          </w:tcPr>
          <w:p w14:paraId="39FA2562"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Current liabilities</w:t>
            </w:r>
          </w:p>
        </w:tc>
        <w:tc>
          <w:tcPr>
            <w:tcW w:w="0" w:type="auto"/>
            <w:vMerge/>
            <w:tcBorders>
              <w:top w:val="nil"/>
              <w:left w:val="nil"/>
              <w:bottom w:val="nil"/>
              <w:right w:val="nil"/>
            </w:tcBorders>
            <w:vAlign w:val="center"/>
            <w:hideMark/>
          </w:tcPr>
          <w:p w14:paraId="4C78EB4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tcBorders>
              <w:top w:val="nil"/>
              <w:left w:val="nil"/>
              <w:bottom w:val="nil"/>
              <w:right w:val="nil"/>
            </w:tcBorders>
            <w:vAlign w:val="center"/>
            <w:hideMark/>
          </w:tcPr>
          <w:p w14:paraId="55E7ECD8"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c>
          <w:tcPr>
            <w:tcW w:w="0" w:type="auto"/>
            <w:tcBorders>
              <w:top w:val="nil"/>
              <w:left w:val="nil"/>
              <w:bottom w:val="nil"/>
              <w:right w:val="nil"/>
            </w:tcBorders>
            <w:shd w:val="clear" w:color="auto" w:fill="auto"/>
            <w:noWrap/>
            <w:hideMark/>
          </w:tcPr>
          <w:p w14:paraId="3D760EAF"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vMerge/>
            <w:tcBorders>
              <w:top w:val="nil"/>
              <w:left w:val="nil"/>
              <w:bottom w:val="nil"/>
              <w:right w:val="nil"/>
            </w:tcBorders>
            <w:vAlign w:val="center"/>
            <w:hideMark/>
          </w:tcPr>
          <w:p w14:paraId="751E1ED8"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r>
      <w:tr w:rsidR="00937254" w:rsidRPr="00937254" w14:paraId="523E979C" w14:textId="77777777" w:rsidTr="00937254">
        <w:trPr>
          <w:trHeight w:val="300"/>
        </w:trPr>
        <w:tc>
          <w:tcPr>
            <w:tcW w:w="0" w:type="auto"/>
            <w:tcBorders>
              <w:top w:val="nil"/>
              <w:left w:val="nil"/>
              <w:bottom w:val="nil"/>
              <w:right w:val="nil"/>
            </w:tcBorders>
            <w:shd w:val="clear" w:color="auto" w:fill="auto"/>
            <w:vAlign w:val="center"/>
            <w:hideMark/>
          </w:tcPr>
          <w:p w14:paraId="4A640097"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Trade and other payables</w:t>
            </w:r>
          </w:p>
        </w:tc>
        <w:tc>
          <w:tcPr>
            <w:tcW w:w="0" w:type="auto"/>
            <w:tcBorders>
              <w:top w:val="nil"/>
              <w:left w:val="nil"/>
              <w:bottom w:val="nil"/>
              <w:right w:val="nil"/>
            </w:tcBorders>
            <w:shd w:val="clear" w:color="auto" w:fill="auto"/>
            <w:vAlign w:val="center"/>
            <w:hideMark/>
          </w:tcPr>
          <w:p w14:paraId="79778DF3"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6</w:t>
            </w:r>
          </w:p>
        </w:tc>
        <w:tc>
          <w:tcPr>
            <w:tcW w:w="0" w:type="auto"/>
            <w:tcBorders>
              <w:top w:val="nil"/>
              <w:left w:val="nil"/>
              <w:bottom w:val="nil"/>
              <w:right w:val="nil"/>
            </w:tcBorders>
            <w:shd w:val="clear" w:color="auto" w:fill="auto"/>
            <w:vAlign w:val="center"/>
            <w:hideMark/>
          </w:tcPr>
          <w:p w14:paraId="7A8D8F1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(10,319,728)</w:t>
            </w:r>
          </w:p>
        </w:tc>
        <w:tc>
          <w:tcPr>
            <w:tcW w:w="0" w:type="auto"/>
            <w:tcBorders>
              <w:top w:val="nil"/>
              <w:left w:val="nil"/>
              <w:bottom w:val="nil"/>
              <w:right w:val="nil"/>
            </w:tcBorders>
            <w:shd w:val="clear" w:color="auto" w:fill="auto"/>
            <w:noWrap/>
            <w:hideMark/>
          </w:tcPr>
          <w:p w14:paraId="23B79A9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5B3152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(6,102,983)</w:t>
            </w:r>
          </w:p>
        </w:tc>
      </w:tr>
      <w:tr w:rsidR="00937254" w:rsidRPr="00937254" w14:paraId="6DC48124" w14:textId="77777777" w:rsidTr="00937254">
        <w:trPr>
          <w:trHeight w:val="300"/>
        </w:trPr>
        <w:tc>
          <w:tcPr>
            <w:tcW w:w="0" w:type="auto"/>
            <w:tcBorders>
              <w:top w:val="nil"/>
              <w:left w:val="nil"/>
              <w:bottom w:val="nil"/>
              <w:right w:val="nil"/>
            </w:tcBorders>
            <w:shd w:val="clear" w:color="auto" w:fill="auto"/>
            <w:vAlign w:val="center"/>
            <w:hideMark/>
          </w:tcPr>
          <w:p w14:paraId="464B28D8"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Grant received in advance</w:t>
            </w:r>
          </w:p>
        </w:tc>
        <w:tc>
          <w:tcPr>
            <w:tcW w:w="0" w:type="auto"/>
            <w:tcBorders>
              <w:top w:val="nil"/>
              <w:left w:val="nil"/>
              <w:bottom w:val="nil"/>
              <w:right w:val="nil"/>
            </w:tcBorders>
            <w:shd w:val="clear" w:color="auto" w:fill="auto"/>
            <w:vAlign w:val="center"/>
            <w:hideMark/>
          </w:tcPr>
          <w:p w14:paraId="4C6AB2E5"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345DDF8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c>
          <w:tcPr>
            <w:tcW w:w="0" w:type="auto"/>
            <w:tcBorders>
              <w:top w:val="nil"/>
              <w:left w:val="nil"/>
              <w:bottom w:val="nil"/>
              <w:right w:val="nil"/>
            </w:tcBorders>
            <w:shd w:val="clear" w:color="auto" w:fill="auto"/>
            <w:noWrap/>
            <w:hideMark/>
          </w:tcPr>
          <w:p w14:paraId="1054D37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141A0D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(24,272)</w:t>
            </w:r>
          </w:p>
        </w:tc>
      </w:tr>
      <w:tr w:rsidR="00937254" w:rsidRPr="00937254" w14:paraId="4E98C382" w14:textId="77777777" w:rsidTr="00937254">
        <w:trPr>
          <w:trHeight w:val="300"/>
        </w:trPr>
        <w:tc>
          <w:tcPr>
            <w:tcW w:w="0" w:type="auto"/>
            <w:tcBorders>
              <w:top w:val="nil"/>
              <w:left w:val="nil"/>
              <w:bottom w:val="nil"/>
              <w:right w:val="nil"/>
            </w:tcBorders>
            <w:shd w:val="clear" w:color="auto" w:fill="auto"/>
            <w:vAlign w:val="center"/>
            <w:hideMark/>
          </w:tcPr>
          <w:p w14:paraId="269B39E4" w14:textId="77777777" w:rsidR="00937254" w:rsidRPr="00937254" w:rsidRDefault="00937254" w:rsidP="00937254">
            <w:pPr>
              <w:widowControl/>
              <w:autoSpaceDE/>
              <w:autoSpaceDN/>
              <w:ind w:firstLineChars="100" w:firstLine="200"/>
              <w:rPr>
                <w:rFonts w:ascii="Arial" w:eastAsia="Times New Roman" w:hAnsi="Arial" w:cs="Arial"/>
                <w:sz w:val="20"/>
                <w:szCs w:val="20"/>
                <w:lang w:bidi="ar-SA"/>
              </w:rPr>
            </w:pPr>
            <w:r w:rsidRPr="00937254">
              <w:rPr>
                <w:rFonts w:ascii="Arial" w:eastAsia="Times New Roman" w:hAnsi="Arial" w:cs="Arial"/>
                <w:sz w:val="20"/>
                <w:szCs w:val="20"/>
                <w:lang w:bidi="ar-SA"/>
              </w:rPr>
              <w:t>Short-term borrowings</w:t>
            </w:r>
          </w:p>
        </w:tc>
        <w:tc>
          <w:tcPr>
            <w:tcW w:w="0" w:type="auto"/>
            <w:tcBorders>
              <w:top w:val="nil"/>
              <w:left w:val="nil"/>
              <w:bottom w:val="nil"/>
              <w:right w:val="nil"/>
            </w:tcBorders>
            <w:shd w:val="clear" w:color="auto" w:fill="auto"/>
            <w:vAlign w:val="center"/>
            <w:hideMark/>
          </w:tcPr>
          <w:p w14:paraId="2C08A464" w14:textId="77777777" w:rsidR="00937254" w:rsidRPr="00937254" w:rsidRDefault="00937254" w:rsidP="00937254">
            <w:pPr>
              <w:widowControl/>
              <w:autoSpaceDE/>
              <w:autoSpaceDN/>
              <w:jc w:val="center"/>
              <w:rPr>
                <w:rFonts w:ascii="Arial" w:eastAsia="Times New Roman" w:hAnsi="Arial" w:cs="Arial"/>
                <w:sz w:val="20"/>
                <w:szCs w:val="20"/>
                <w:lang w:bidi="ar-SA"/>
              </w:rPr>
            </w:pPr>
            <w:r w:rsidRPr="00937254">
              <w:rPr>
                <w:rFonts w:ascii="Arial" w:eastAsia="Times New Roman" w:hAnsi="Arial" w:cs="Arial"/>
                <w:sz w:val="20"/>
                <w:szCs w:val="20"/>
                <w:lang w:bidi="ar-SA"/>
              </w:rPr>
              <w:t>7</w:t>
            </w:r>
          </w:p>
        </w:tc>
        <w:tc>
          <w:tcPr>
            <w:tcW w:w="0" w:type="auto"/>
            <w:tcBorders>
              <w:top w:val="nil"/>
              <w:left w:val="nil"/>
              <w:bottom w:val="nil"/>
              <w:right w:val="nil"/>
            </w:tcBorders>
            <w:shd w:val="clear" w:color="auto" w:fill="auto"/>
            <w:noWrap/>
            <w:hideMark/>
          </w:tcPr>
          <w:p w14:paraId="62974B85"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(734,060)</w:t>
            </w:r>
          </w:p>
        </w:tc>
        <w:tc>
          <w:tcPr>
            <w:tcW w:w="0" w:type="auto"/>
            <w:tcBorders>
              <w:top w:val="nil"/>
              <w:left w:val="nil"/>
              <w:bottom w:val="nil"/>
              <w:right w:val="nil"/>
            </w:tcBorders>
            <w:shd w:val="clear" w:color="auto" w:fill="auto"/>
            <w:noWrap/>
            <w:hideMark/>
          </w:tcPr>
          <w:p w14:paraId="61391A2F"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hideMark/>
          </w:tcPr>
          <w:p w14:paraId="66AE7A5A"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(863,655)</w:t>
            </w:r>
          </w:p>
        </w:tc>
      </w:tr>
      <w:tr w:rsidR="00937254" w:rsidRPr="00937254" w14:paraId="3206053B" w14:textId="77777777" w:rsidTr="00937254">
        <w:trPr>
          <w:trHeight w:val="300"/>
        </w:trPr>
        <w:tc>
          <w:tcPr>
            <w:tcW w:w="0" w:type="auto"/>
            <w:tcBorders>
              <w:top w:val="nil"/>
              <w:left w:val="nil"/>
              <w:bottom w:val="nil"/>
              <w:right w:val="nil"/>
            </w:tcBorders>
            <w:shd w:val="clear" w:color="auto" w:fill="auto"/>
            <w:vAlign w:val="center"/>
            <w:hideMark/>
          </w:tcPr>
          <w:p w14:paraId="559132E2" w14:textId="77777777" w:rsidR="00937254" w:rsidRPr="00937254" w:rsidRDefault="00937254" w:rsidP="00937254">
            <w:pPr>
              <w:widowControl/>
              <w:autoSpaceDE/>
              <w:autoSpaceDN/>
              <w:ind w:firstLineChars="100" w:firstLine="200"/>
              <w:rPr>
                <w:rFonts w:ascii="Arial" w:eastAsia="Times New Roman" w:hAnsi="Arial" w:cs="Arial"/>
                <w:sz w:val="20"/>
                <w:szCs w:val="20"/>
                <w:lang w:bidi="ar-SA"/>
              </w:rPr>
            </w:pPr>
            <w:r w:rsidRPr="00937254">
              <w:rPr>
                <w:rFonts w:ascii="Arial" w:eastAsia="Times New Roman" w:hAnsi="Arial" w:cs="Arial"/>
                <w:sz w:val="20"/>
                <w:szCs w:val="20"/>
                <w:lang w:bidi="ar-SA"/>
              </w:rPr>
              <w:t>Short-term financial liability</w:t>
            </w:r>
          </w:p>
        </w:tc>
        <w:tc>
          <w:tcPr>
            <w:tcW w:w="0" w:type="auto"/>
            <w:tcBorders>
              <w:top w:val="nil"/>
              <w:left w:val="nil"/>
              <w:bottom w:val="nil"/>
              <w:right w:val="nil"/>
            </w:tcBorders>
            <w:shd w:val="clear" w:color="auto" w:fill="auto"/>
            <w:vAlign w:val="center"/>
            <w:hideMark/>
          </w:tcPr>
          <w:p w14:paraId="3E59EE14" w14:textId="77777777" w:rsidR="00937254" w:rsidRPr="00937254" w:rsidRDefault="00937254" w:rsidP="00937254">
            <w:pPr>
              <w:widowControl/>
              <w:autoSpaceDE/>
              <w:autoSpaceDN/>
              <w:jc w:val="center"/>
              <w:rPr>
                <w:rFonts w:ascii="Arial" w:eastAsia="Times New Roman" w:hAnsi="Arial" w:cs="Arial"/>
                <w:sz w:val="20"/>
                <w:szCs w:val="20"/>
                <w:lang w:bidi="ar-SA"/>
              </w:rPr>
            </w:pPr>
            <w:r w:rsidRPr="00937254">
              <w:rPr>
                <w:rFonts w:ascii="Arial" w:eastAsia="Times New Roman" w:hAnsi="Arial" w:cs="Arial"/>
                <w:sz w:val="20"/>
                <w:szCs w:val="20"/>
                <w:lang w:bidi="ar-SA"/>
              </w:rPr>
              <w:t>7</w:t>
            </w:r>
          </w:p>
        </w:tc>
        <w:tc>
          <w:tcPr>
            <w:tcW w:w="0" w:type="auto"/>
            <w:tcBorders>
              <w:top w:val="nil"/>
              <w:left w:val="nil"/>
              <w:bottom w:val="nil"/>
              <w:right w:val="nil"/>
            </w:tcBorders>
            <w:shd w:val="clear" w:color="auto" w:fill="auto"/>
            <w:noWrap/>
            <w:hideMark/>
          </w:tcPr>
          <w:p w14:paraId="1B0F5746"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(1,500,000)</w:t>
            </w:r>
          </w:p>
        </w:tc>
        <w:tc>
          <w:tcPr>
            <w:tcW w:w="0" w:type="auto"/>
            <w:tcBorders>
              <w:top w:val="nil"/>
              <w:left w:val="nil"/>
              <w:bottom w:val="nil"/>
              <w:right w:val="nil"/>
            </w:tcBorders>
            <w:shd w:val="clear" w:color="auto" w:fill="auto"/>
            <w:noWrap/>
            <w:hideMark/>
          </w:tcPr>
          <w:p w14:paraId="3693E263"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hideMark/>
          </w:tcPr>
          <w:p w14:paraId="6260AE27"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(830,000)</w:t>
            </w:r>
          </w:p>
        </w:tc>
      </w:tr>
      <w:tr w:rsidR="00937254" w:rsidRPr="00937254" w14:paraId="7D8F0CAD" w14:textId="77777777" w:rsidTr="00937254">
        <w:trPr>
          <w:trHeight w:val="300"/>
        </w:trPr>
        <w:tc>
          <w:tcPr>
            <w:tcW w:w="0" w:type="auto"/>
            <w:tcBorders>
              <w:top w:val="nil"/>
              <w:left w:val="nil"/>
              <w:bottom w:val="nil"/>
              <w:right w:val="nil"/>
            </w:tcBorders>
            <w:shd w:val="clear" w:color="auto" w:fill="auto"/>
            <w:vAlign w:val="center"/>
            <w:hideMark/>
          </w:tcPr>
          <w:p w14:paraId="2C0373F6" w14:textId="77777777" w:rsidR="00937254" w:rsidRPr="00937254" w:rsidRDefault="00937254" w:rsidP="00937254">
            <w:pPr>
              <w:widowControl/>
              <w:autoSpaceDE/>
              <w:autoSpaceDN/>
              <w:ind w:firstLineChars="100" w:firstLine="200"/>
              <w:rPr>
                <w:rFonts w:ascii="Arial" w:eastAsia="Times New Roman" w:hAnsi="Arial" w:cs="Arial"/>
                <w:sz w:val="20"/>
                <w:szCs w:val="20"/>
                <w:lang w:bidi="ar-SA"/>
              </w:rPr>
            </w:pPr>
            <w:r w:rsidRPr="00937254">
              <w:rPr>
                <w:rFonts w:ascii="Arial" w:eastAsia="Times New Roman" w:hAnsi="Arial" w:cs="Arial"/>
                <w:sz w:val="20"/>
                <w:szCs w:val="20"/>
                <w:lang w:bidi="ar-SA"/>
              </w:rPr>
              <w:t>Lease liabilities</w:t>
            </w:r>
          </w:p>
        </w:tc>
        <w:tc>
          <w:tcPr>
            <w:tcW w:w="0" w:type="auto"/>
            <w:tcBorders>
              <w:top w:val="nil"/>
              <w:left w:val="nil"/>
              <w:bottom w:val="nil"/>
              <w:right w:val="nil"/>
            </w:tcBorders>
            <w:shd w:val="clear" w:color="auto" w:fill="auto"/>
            <w:vAlign w:val="center"/>
            <w:hideMark/>
          </w:tcPr>
          <w:p w14:paraId="1B8481CE" w14:textId="77777777" w:rsidR="00937254" w:rsidRPr="00937254" w:rsidRDefault="00937254" w:rsidP="00937254">
            <w:pPr>
              <w:widowControl/>
              <w:autoSpaceDE/>
              <w:autoSpaceDN/>
              <w:jc w:val="center"/>
              <w:rPr>
                <w:rFonts w:ascii="Arial" w:eastAsia="Times New Roman" w:hAnsi="Arial" w:cs="Arial"/>
                <w:sz w:val="20"/>
                <w:szCs w:val="20"/>
                <w:lang w:bidi="ar-SA"/>
              </w:rPr>
            </w:pPr>
            <w:r w:rsidRPr="00937254">
              <w:rPr>
                <w:rFonts w:ascii="Arial" w:eastAsia="Times New Roman" w:hAnsi="Arial" w:cs="Arial"/>
                <w:sz w:val="20"/>
                <w:szCs w:val="20"/>
                <w:lang w:bidi="ar-SA"/>
              </w:rPr>
              <w:t>7</w:t>
            </w:r>
          </w:p>
        </w:tc>
        <w:tc>
          <w:tcPr>
            <w:tcW w:w="0" w:type="auto"/>
            <w:tcBorders>
              <w:top w:val="nil"/>
              <w:left w:val="nil"/>
              <w:bottom w:val="nil"/>
              <w:right w:val="nil"/>
            </w:tcBorders>
            <w:shd w:val="clear" w:color="auto" w:fill="auto"/>
            <w:vAlign w:val="center"/>
            <w:hideMark/>
          </w:tcPr>
          <w:p w14:paraId="457482B8"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(1,320,458)</w:t>
            </w:r>
          </w:p>
        </w:tc>
        <w:tc>
          <w:tcPr>
            <w:tcW w:w="0" w:type="auto"/>
            <w:tcBorders>
              <w:top w:val="nil"/>
              <w:left w:val="nil"/>
              <w:bottom w:val="nil"/>
              <w:right w:val="nil"/>
            </w:tcBorders>
            <w:shd w:val="clear" w:color="auto" w:fill="auto"/>
            <w:noWrap/>
            <w:hideMark/>
          </w:tcPr>
          <w:p w14:paraId="21C7A03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vAlign w:val="center"/>
            <w:hideMark/>
          </w:tcPr>
          <w:p w14:paraId="025B245F"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(1,087,885)</w:t>
            </w:r>
          </w:p>
        </w:tc>
      </w:tr>
      <w:tr w:rsidR="00937254" w:rsidRPr="00937254" w14:paraId="12AF7BBA" w14:textId="77777777" w:rsidTr="00937254">
        <w:trPr>
          <w:trHeight w:val="105"/>
        </w:trPr>
        <w:tc>
          <w:tcPr>
            <w:tcW w:w="0" w:type="auto"/>
            <w:tcBorders>
              <w:top w:val="nil"/>
              <w:left w:val="nil"/>
              <w:bottom w:val="nil"/>
              <w:right w:val="nil"/>
            </w:tcBorders>
            <w:shd w:val="clear" w:color="auto" w:fill="auto"/>
            <w:vAlign w:val="center"/>
            <w:hideMark/>
          </w:tcPr>
          <w:p w14:paraId="73E64394"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vAlign w:val="center"/>
            <w:hideMark/>
          </w:tcPr>
          <w:p w14:paraId="63BB89E9"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single" w:sz="8" w:space="0" w:color="000000"/>
              <w:right w:val="nil"/>
            </w:tcBorders>
            <w:shd w:val="clear" w:color="auto" w:fill="auto"/>
            <w:vAlign w:val="center"/>
            <w:hideMark/>
          </w:tcPr>
          <w:p w14:paraId="2CA6A74E"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c>
          <w:tcPr>
            <w:tcW w:w="0" w:type="auto"/>
            <w:tcBorders>
              <w:top w:val="nil"/>
              <w:left w:val="nil"/>
              <w:bottom w:val="nil"/>
              <w:right w:val="nil"/>
            </w:tcBorders>
            <w:shd w:val="clear" w:color="auto" w:fill="auto"/>
            <w:noWrap/>
            <w:hideMark/>
          </w:tcPr>
          <w:p w14:paraId="106D3840"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8" w:space="0" w:color="000000"/>
              <w:right w:val="nil"/>
            </w:tcBorders>
            <w:shd w:val="clear" w:color="auto" w:fill="auto"/>
            <w:vAlign w:val="center"/>
            <w:hideMark/>
          </w:tcPr>
          <w:p w14:paraId="4913ABB8"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w:t>
            </w:r>
          </w:p>
        </w:tc>
      </w:tr>
      <w:tr w:rsidR="00937254" w:rsidRPr="00937254" w14:paraId="2C664533" w14:textId="77777777" w:rsidTr="00937254">
        <w:trPr>
          <w:trHeight w:val="315"/>
        </w:trPr>
        <w:tc>
          <w:tcPr>
            <w:tcW w:w="0" w:type="auto"/>
            <w:tcBorders>
              <w:top w:val="nil"/>
              <w:left w:val="nil"/>
              <w:bottom w:val="nil"/>
              <w:right w:val="nil"/>
            </w:tcBorders>
            <w:shd w:val="clear" w:color="auto" w:fill="auto"/>
            <w:vAlign w:val="center"/>
            <w:hideMark/>
          </w:tcPr>
          <w:p w14:paraId="712A45CA"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r w:rsidRPr="00937254">
              <w:rPr>
                <w:rFonts w:ascii="Arial" w:eastAsia="Times New Roman" w:hAnsi="Arial" w:cs="Arial"/>
                <w:b/>
                <w:bCs/>
                <w:sz w:val="20"/>
                <w:szCs w:val="20"/>
                <w:lang w:bidi="ar-SA"/>
              </w:rPr>
              <w:t>Total current liabilities</w:t>
            </w:r>
          </w:p>
        </w:tc>
        <w:tc>
          <w:tcPr>
            <w:tcW w:w="0" w:type="auto"/>
            <w:tcBorders>
              <w:top w:val="nil"/>
              <w:left w:val="nil"/>
              <w:bottom w:val="nil"/>
              <w:right w:val="nil"/>
            </w:tcBorders>
            <w:shd w:val="clear" w:color="auto" w:fill="auto"/>
            <w:vAlign w:val="center"/>
            <w:hideMark/>
          </w:tcPr>
          <w:p w14:paraId="7DC45190"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p>
        </w:tc>
        <w:tc>
          <w:tcPr>
            <w:tcW w:w="0" w:type="auto"/>
            <w:tcBorders>
              <w:top w:val="nil"/>
              <w:left w:val="nil"/>
              <w:bottom w:val="single" w:sz="8" w:space="0" w:color="000000"/>
              <w:right w:val="nil"/>
            </w:tcBorders>
            <w:shd w:val="clear" w:color="auto" w:fill="auto"/>
            <w:vAlign w:val="center"/>
            <w:hideMark/>
          </w:tcPr>
          <w:p w14:paraId="6F79F2D4"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(13,874,246)</w:t>
            </w:r>
          </w:p>
        </w:tc>
        <w:tc>
          <w:tcPr>
            <w:tcW w:w="0" w:type="auto"/>
            <w:tcBorders>
              <w:top w:val="nil"/>
              <w:left w:val="nil"/>
              <w:bottom w:val="nil"/>
              <w:right w:val="nil"/>
            </w:tcBorders>
            <w:shd w:val="clear" w:color="auto" w:fill="auto"/>
            <w:noWrap/>
            <w:hideMark/>
          </w:tcPr>
          <w:p w14:paraId="3465900C"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8" w:space="0" w:color="000000"/>
              <w:right w:val="nil"/>
            </w:tcBorders>
            <w:shd w:val="clear" w:color="auto" w:fill="auto"/>
            <w:vAlign w:val="center"/>
            <w:hideMark/>
          </w:tcPr>
          <w:p w14:paraId="3753FEE4"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(8,908,795)</w:t>
            </w:r>
          </w:p>
        </w:tc>
      </w:tr>
      <w:tr w:rsidR="00937254" w:rsidRPr="00937254" w14:paraId="146777AC" w14:textId="77777777" w:rsidTr="00937254">
        <w:trPr>
          <w:trHeight w:val="300"/>
        </w:trPr>
        <w:tc>
          <w:tcPr>
            <w:tcW w:w="0" w:type="auto"/>
            <w:tcBorders>
              <w:top w:val="nil"/>
              <w:left w:val="nil"/>
              <w:bottom w:val="nil"/>
              <w:right w:val="nil"/>
            </w:tcBorders>
            <w:shd w:val="clear" w:color="auto" w:fill="auto"/>
            <w:vAlign w:val="center"/>
            <w:hideMark/>
          </w:tcPr>
          <w:p w14:paraId="6A797D3B"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vAlign w:val="center"/>
            <w:hideMark/>
          </w:tcPr>
          <w:p w14:paraId="51C63A1E"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CB06A2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56E4A75E"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CF59525"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29A34729" w14:textId="77777777" w:rsidTr="00937254">
        <w:trPr>
          <w:trHeight w:val="300"/>
        </w:trPr>
        <w:tc>
          <w:tcPr>
            <w:tcW w:w="0" w:type="auto"/>
            <w:tcBorders>
              <w:top w:val="nil"/>
              <w:left w:val="nil"/>
              <w:bottom w:val="nil"/>
              <w:right w:val="nil"/>
            </w:tcBorders>
            <w:shd w:val="clear" w:color="auto" w:fill="auto"/>
            <w:vAlign w:val="center"/>
            <w:hideMark/>
          </w:tcPr>
          <w:p w14:paraId="6066C30C"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r w:rsidRPr="00937254">
              <w:rPr>
                <w:rFonts w:ascii="Arial" w:eastAsia="Times New Roman" w:hAnsi="Arial" w:cs="Arial"/>
                <w:b/>
                <w:bCs/>
                <w:sz w:val="20"/>
                <w:szCs w:val="20"/>
                <w:lang w:bidi="ar-SA"/>
              </w:rPr>
              <w:t>Net current liabilities</w:t>
            </w:r>
          </w:p>
        </w:tc>
        <w:tc>
          <w:tcPr>
            <w:tcW w:w="0" w:type="auto"/>
            <w:tcBorders>
              <w:top w:val="nil"/>
              <w:left w:val="nil"/>
              <w:bottom w:val="nil"/>
              <w:right w:val="nil"/>
            </w:tcBorders>
            <w:shd w:val="clear" w:color="auto" w:fill="auto"/>
            <w:vAlign w:val="center"/>
            <w:hideMark/>
          </w:tcPr>
          <w:p w14:paraId="61557AB9" w14:textId="77777777" w:rsidR="00937254" w:rsidRPr="00937254" w:rsidRDefault="00937254" w:rsidP="00937254">
            <w:pPr>
              <w:widowControl/>
              <w:autoSpaceDE/>
              <w:autoSpaceDN/>
              <w:ind w:firstLineChars="100" w:firstLine="201"/>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hideMark/>
          </w:tcPr>
          <w:p w14:paraId="27520378"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(5,111,318)</w:t>
            </w:r>
          </w:p>
        </w:tc>
        <w:tc>
          <w:tcPr>
            <w:tcW w:w="0" w:type="auto"/>
            <w:tcBorders>
              <w:top w:val="nil"/>
              <w:left w:val="nil"/>
              <w:bottom w:val="nil"/>
              <w:right w:val="nil"/>
            </w:tcBorders>
            <w:shd w:val="clear" w:color="auto" w:fill="auto"/>
            <w:noWrap/>
            <w:hideMark/>
          </w:tcPr>
          <w:p w14:paraId="105BDA87"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hideMark/>
          </w:tcPr>
          <w:p w14:paraId="2EDB2EE8"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79,160 </w:t>
            </w:r>
          </w:p>
        </w:tc>
      </w:tr>
      <w:tr w:rsidR="00937254" w:rsidRPr="00937254" w14:paraId="1A7AFE72" w14:textId="77777777" w:rsidTr="00937254">
        <w:trPr>
          <w:trHeight w:val="300"/>
        </w:trPr>
        <w:tc>
          <w:tcPr>
            <w:tcW w:w="0" w:type="auto"/>
            <w:tcBorders>
              <w:top w:val="nil"/>
              <w:left w:val="nil"/>
              <w:bottom w:val="nil"/>
              <w:right w:val="nil"/>
            </w:tcBorders>
            <w:shd w:val="clear" w:color="auto" w:fill="auto"/>
            <w:vAlign w:val="center"/>
            <w:hideMark/>
          </w:tcPr>
          <w:p w14:paraId="77EDB14E"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vAlign w:val="center"/>
            <w:hideMark/>
          </w:tcPr>
          <w:p w14:paraId="74B7ED20"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F10E52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5632EA3E"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A5142C2"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57D0B4B0" w14:textId="77777777" w:rsidTr="00937254">
        <w:trPr>
          <w:trHeight w:val="300"/>
        </w:trPr>
        <w:tc>
          <w:tcPr>
            <w:tcW w:w="0" w:type="auto"/>
            <w:tcBorders>
              <w:top w:val="nil"/>
              <w:left w:val="nil"/>
              <w:bottom w:val="nil"/>
              <w:right w:val="nil"/>
            </w:tcBorders>
            <w:shd w:val="clear" w:color="auto" w:fill="auto"/>
            <w:vAlign w:val="center"/>
            <w:hideMark/>
          </w:tcPr>
          <w:p w14:paraId="7B801987"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Non-current liabilities</w:t>
            </w:r>
          </w:p>
        </w:tc>
        <w:tc>
          <w:tcPr>
            <w:tcW w:w="0" w:type="auto"/>
            <w:tcBorders>
              <w:top w:val="nil"/>
              <w:left w:val="nil"/>
              <w:bottom w:val="nil"/>
              <w:right w:val="nil"/>
            </w:tcBorders>
            <w:shd w:val="clear" w:color="auto" w:fill="auto"/>
            <w:vAlign w:val="center"/>
            <w:hideMark/>
          </w:tcPr>
          <w:p w14:paraId="7C604022"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13894E5E"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159022ED"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598891B"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2A41776F" w14:textId="77777777" w:rsidTr="00937254">
        <w:trPr>
          <w:trHeight w:val="300"/>
        </w:trPr>
        <w:tc>
          <w:tcPr>
            <w:tcW w:w="0" w:type="auto"/>
            <w:tcBorders>
              <w:top w:val="nil"/>
              <w:left w:val="nil"/>
              <w:bottom w:val="nil"/>
              <w:right w:val="nil"/>
            </w:tcBorders>
            <w:shd w:val="clear" w:color="auto" w:fill="auto"/>
            <w:vAlign w:val="center"/>
            <w:hideMark/>
          </w:tcPr>
          <w:p w14:paraId="7CB0A2A5" w14:textId="77777777" w:rsidR="00937254" w:rsidRPr="00937254" w:rsidRDefault="00937254" w:rsidP="00937254">
            <w:pPr>
              <w:widowControl/>
              <w:autoSpaceDE/>
              <w:autoSpaceDN/>
              <w:ind w:firstLineChars="100" w:firstLine="200"/>
              <w:rPr>
                <w:rFonts w:ascii="Arial" w:eastAsia="Times New Roman" w:hAnsi="Arial" w:cs="Arial"/>
                <w:sz w:val="20"/>
                <w:szCs w:val="20"/>
                <w:lang w:bidi="ar-SA"/>
              </w:rPr>
            </w:pPr>
            <w:r w:rsidRPr="00937254">
              <w:rPr>
                <w:rFonts w:ascii="Arial" w:eastAsia="Times New Roman" w:hAnsi="Arial" w:cs="Arial"/>
                <w:sz w:val="20"/>
                <w:szCs w:val="20"/>
                <w:lang w:bidi="ar-SA"/>
              </w:rPr>
              <w:t>Other payables</w:t>
            </w:r>
          </w:p>
        </w:tc>
        <w:tc>
          <w:tcPr>
            <w:tcW w:w="0" w:type="auto"/>
            <w:tcBorders>
              <w:top w:val="nil"/>
              <w:left w:val="nil"/>
              <w:bottom w:val="nil"/>
              <w:right w:val="nil"/>
            </w:tcBorders>
            <w:shd w:val="clear" w:color="auto" w:fill="auto"/>
            <w:vAlign w:val="center"/>
            <w:hideMark/>
          </w:tcPr>
          <w:p w14:paraId="1F5C8490" w14:textId="77777777" w:rsidR="00937254" w:rsidRPr="00937254" w:rsidRDefault="00937254" w:rsidP="00937254">
            <w:pPr>
              <w:widowControl/>
              <w:autoSpaceDE/>
              <w:autoSpaceDN/>
              <w:jc w:val="center"/>
              <w:rPr>
                <w:rFonts w:ascii="Arial" w:eastAsia="Times New Roman" w:hAnsi="Arial" w:cs="Arial"/>
                <w:sz w:val="20"/>
                <w:szCs w:val="20"/>
                <w:lang w:bidi="ar-SA"/>
              </w:rPr>
            </w:pPr>
            <w:r w:rsidRPr="00937254">
              <w:rPr>
                <w:rFonts w:ascii="Arial" w:eastAsia="Times New Roman" w:hAnsi="Arial" w:cs="Arial"/>
                <w:sz w:val="20"/>
                <w:szCs w:val="20"/>
                <w:lang w:bidi="ar-SA"/>
              </w:rPr>
              <w:t>6</w:t>
            </w:r>
          </w:p>
        </w:tc>
        <w:tc>
          <w:tcPr>
            <w:tcW w:w="0" w:type="auto"/>
            <w:tcBorders>
              <w:top w:val="nil"/>
              <w:left w:val="nil"/>
              <w:bottom w:val="nil"/>
              <w:right w:val="nil"/>
            </w:tcBorders>
            <w:shd w:val="clear" w:color="auto" w:fill="auto"/>
            <w:vAlign w:val="center"/>
            <w:hideMark/>
          </w:tcPr>
          <w:p w14:paraId="3B563C17"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   </w:t>
            </w:r>
          </w:p>
        </w:tc>
        <w:tc>
          <w:tcPr>
            <w:tcW w:w="0" w:type="auto"/>
            <w:tcBorders>
              <w:top w:val="nil"/>
              <w:left w:val="nil"/>
              <w:bottom w:val="nil"/>
              <w:right w:val="nil"/>
            </w:tcBorders>
            <w:shd w:val="clear" w:color="auto" w:fill="auto"/>
            <w:noWrap/>
            <w:hideMark/>
          </w:tcPr>
          <w:p w14:paraId="764C0589"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nil"/>
              <w:right w:val="nil"/>
            </w:tcBorders>
            <w:shd w:val="clear" w:color="auto" w:fill="auto"/>
            <w:vAlign w:val="center"/>
            <w:hideMark/>
          </w:tcPr>
          <w:p w14:paraId="5D7D480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486E483C" w14:textId="77777777" w:rsidTr="00937254">
        <w:trPr>
          <w:trHeight w:val="300"/>
        </w:trPr>
        <w:tc>
          <w:tcPr>
            <w:tcW w:w="0" w:type="auto"/>
            <w:tcBorders>
              <w:top w:val="nil"/>
              <w:left w:val="nil"/>
              <w:bottom w:val="nil"/>
              <w:right w:val="nil"/>
            </w:tcBorders>
            <w:shd w:val="clear" w:color="auto" w:fill="auto"/>
            <w:vAlign w:val="center"/>
            <w:hideMark/>
          </w:tcPr>
          <w:p w14:paraId="2C8FA1F6"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Loans and borrowings</w:t>
            </w:r>
          </w:p>
        </w:tc>
        <w:tc>
          <w:tcPr>
            <w:tcW w:w="0" w:type="auto"/>
            <w:tcBorders>
              <w:top w:val="nil"/>
              <w:left w:val="nil"/>
              <w:bottom w:val="nil"/>
              <w:right w:val="nil"/>
            </w:tcBorders>
            <w:shd w:val="clear" w:color="auto" w:fill="auto"/>
            <w:vAlign w:val="center"/>
            <w:hideMark/>
          </w:tcPr>
          <w:p w14:paraId="1D451C88"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7</w:t>
            </w:r>
          </w:p>
        </w:tc>
        <w:tc>
          <w:tcPr>
            <w:tcW w:w="0" w:type="auto"/>
            <w:tcBorders>
              <w:top w:val="nil"/>
              <w:left w:val="nil"/>
              <w:bottom w:val="nil"/>
              <w:right w:val="nil"/>
            </w:tcBorders>
            <w:shd w:val="clear" w:color="auto" w:fill="auto"/>
            <w:vAlign w:val="center"/>
            <w:hideMark/>
          </w:tcPr>
          <w:p w14:paraId="7F644FC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(6,290,000)</w:t>
            </w:r>
          </w:p>
        </w:tc>
        <w:tc>
          <w:tcPr>
            <w:tcW w:w="0" w:type="auto"/>
            <w:tcBorders>
              <w:top w:val="nil"/>
              <w:left w:val="nil"/>
              <w:bottom w:val="nil"/>
              <w:right w:val="nil"/>
            </w:tcBorders>
            <w:shd w:val="clear" w:color="auto" w:fill="auto"/>
            <w:noWrap/>
            <w:hideMark/>
          </w:tcPr>
          <w:p w14:paraId="4655F60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ACCA8A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(2,090,000)</w:t>
            </w:r>
          </w:p>
        </w:tc>
      </w:tr>
      <w:tr w:rsidR="00937254" w:rsidRPr="00937254" w14:paraId="58B9D28F" w14:textId="77777777" w:rsidTr="00937254">
        <w:trPr>
          <w:trHeight w:val="300"/>
        </w:trPr>
        <w:tc>
          <w:tcPr>
            <w:tcW w:w="0" w:type="auto"/>
            <w:tcBorders>
              <w:top w:val="nil"/>
              <w:left w:val="nil"/>
              <w:bottom w:val="nil"/>
              <w:right w:val="nil"/>
            </w:tcBorders>
            <w:shd w:val="clear" w:color="auto" w:fill="auto"/>
            <w:vAlign w:val="center"/>
            <w:hideMark/>
          </w:tcPr>
          <w:p w14:paraId="49D60987"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Lease liabilities</w:t>
            </w:r>
          </w:p>
        </w:tc>
        <w:tc>
          <w:tcPr>
            <w:tcW w:w="0" w:type="auto"/>
            <w:tcBorders>
              <w:top w:val="nil"/>
              <w:left w:val="nil"/>
              <w:bottom w:val="nil"/>
              <w:right w:val="nil"/>
            </w:tcBorders>
            <w:shd w:val="clear" w:color="auto" w:fill="auto"/>
            <w:vAlign w:val="center"/>
            <w:hideMark/>
          </w:tcPr>
          <w:p w14:paraId="333850D1"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7</w:t>
            </w:r>
          </w:p>
        </w:tc>
        <w:tc>
          <w:tcPr>
            <w:tcW w:w="0" w:type="auto"/>
            <w:tcBorders>
              <w:top w:val="nil"/>
              <w:left w:val="nil"/>
              <w:bottom w:val="nil"/>
              <w:right w:val="nil"/>
            </w:tcBorders>
            <w:shd w:val="clear" w:color="auto" w:fill="auto"/>
            <w:vAlign w:val="center"/>
            <w:hideMark/>
          </w:tcPr>
          <w:p w14:paraId="1281346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(13,878,805)</w:t>
            </w:r>
          </w:p>
        </w:tc>
        <w:tc>
          <w:tcPr>
            <w:tcW w:w="0" w:type="auto"/>
            <w:tcBorders>
              <w:top w:val="nil"/>
              <w:left w:val="nil"/>
              <w:bottom w:val="nil"/>
              <w:right w:val="nil"/>
            </w:tcBorders>
            <w:shd w:val="clear" w:color="auto" w:fill="auto"/>
            <w:noWrap/>
            <w:hideMark/>
          </w:tcPr>
          <w:p w14:paraId="01C4EC8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7AB3A47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(13,699,579)</w:t>
            </w:r>
          </w:p>
        </w:tc>
      </w:tr>
      <w:tr w:rsidR="00937254" w:rsidRPr="00937254" w14:paraId="5C051BF9" w14:textId="77777777" w:rsidTr="00937254">
        <w:trPr>
          <w:trHeight w:val="315"/>
        </w:trPr>
        <w:tc>
          <w:tcPr>
            <w:tcW w:w="0" w:type="auto"/>
            <w:tcBorders>
              <w:top w:val="nil"/>
              <w:left w:val="nil"/>
              <w:bottom w:val="nil"/>
              <w:right w:val="nil"/>
            </w:tcBorders>
            <w:shd w:val="clear" w:color="auto" w:fill="auto"/>
            <w:vAlign w:val="center"/>
            <w:hideMark/>
          </w:tcPr>
          <w:p w14:paraId="6BCF9AA1"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Financial liability</w:t>
            </w:r>
          </w:p>
        </w:tc>
        <w:tc>
          <w:tcPr>
            <w:tcW w:w="0" w:type="auto"/>
            <w:tcBorders>
              <w:top w:val="nil"/>
              <w:left w:val="nil"/>
              <w:bottom w:val="nil"/>
              <w:right w:val="nil"/>
            </w:tcBorders>
            <w:shd w:val="clear" w:color="auto" w:fill="auto"/>
            <w:vAlign w:val="center"/>
            <w:hideMark/>
          </w:tcPr>
          <w:p w14:paraId="166BF4CC" w14:textId="77777777" w:rsidR="00937254" w:rsidRPr="00937254" w:rsidRDefault="00937254" w:rsidP="00937254">
            <w:pPr>
              <w:widowControl/>
              <w:autoSpaceDE/>
              <w:autoSpaceDN/>
              <w:jc w:val="center"/>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7</w:t>
            </w:r>
          </w:p>
        </w:tc>
        <w:tc>
          <w:tcPr>
            <w:tcW w:w="0" w:type="auto"/>
            <w:tcBorders>
              <w:top w:val="nil"/>
              <w:left w:val="nil"/>
              <w:bottom w:val="single" w:sz="8" w:space="0" w:color="000000"/>
              <w:right w:val="nil"/>
            </w:tcBorders>
            <w:shd w:val="clear" w:color="auto" w:fill="auto"/>
            <w:vAlign w:val="center"/>
            <w:hideMark/>
          </w:tcPr>
          <w:p w14:paraId="469AF59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(200,000)</w:t>
            </w:r>
          </w:p>
        </w:tc>
        <w:tc>
          <w:tcPr>
            <w:tcW w:w="0" w:type="auto"/>
            <w:tcBorders>
              <w:top w:val="nil"/>
              <w:left w:val="nil"/>
              <w:bottom w:val="nil"/>
              <w:right w:val="nil"/>
            </w:tcBorders>
            <w:shd w:val="clear" w:color="auto" w:fill="auto"/>
            <w:noWrap/>
            <w:hideMark/>
          </w:tcPr>
          <w:p w14:paraId="41CBDC7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44D5E02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(200,000)</w:t>
            </w:r>
          </w:p>
        </w:tc>
      </w:tr>
      <w:tr w:rsidR="00937254" w:rsidRPr="00937254" w14:paraId="2BC53EFC" w14:textId="77777777" w:rsidTr="00937254">
        <w:trPr>
          <w:trHeight w:val="300"/>
        </w:trPr>
        <w:tc>
          <w:tcPr>
            <w:tcW w:w="0" w:type="auto"/>
            <w:tcBorders>
              <w:top w:val="nil"/>
              <w:left w:val="nil"/>
              <w:bottom w:val="nil"/>
              <w:right w:val="nil"/>
            </w:tcBorders>
            <w:shd w:val="clear" w:color="auto" w:fill="auto"/>
            <w:vAlign w:val="center"/>
            <w:hideMark/>
          </w:tcPr>
          <w:p w14:paraId="4B0EF733"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Total non-current liabilities</w:t>
            </w:r>
          </w:p>
        </w:tc>
        <w:tc>
          <w:tcPr>
            <w:tcW w:w="0" w:type="auto"/>
            <w:tcBorders>
              <w:top w:val="nil"/>
              <w:left w:val="nil"/>
              <w:bottom w:val="nil"/>
              <w:right w:val="nil"/>
            </w:tcBorders>
            <w:shd w:val="clear" w:color="auto" w:fill="auto"/>
            <w:vAlign w:val="center"/>
            <w:hideMark/>
          </w:tcPr>
          <w:p w14:paraId="182E2DE8"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3EA3D09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(20,368,805)</w:t>
            </w:r>
          </w:p>
        </w:tc>
        <w:tc>
          <w:tcPr>
            <w:tcW w:w="0" w:type="auto"/>
            <w:tcBorders>
              <w:top w:val="nil"/>
              <w:left w:val="nil"/>
              <w:bottom w:val="nil"/>
              <w:right w:val="nil"/>
            </w:tcBorders>
            <w:shd w:val="clear" w:color="auto" w:fill="auto"/>
            <w:noWrap/>
            <w:hideMark/>
          </w:tcPr>
          <w:p w14:paraId="2D86B46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3C3DB6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(15,989,579)</w:t>
            </w:r>
          </w:p>
        </w:tc>
      </w:tr>
      <w:tr w:rsidR="00937254" w:rsidRPr="00937254" w14:paraId="7C329A31" w14:textId="77777777" w:rsidTr="00937254">
        <w:trPr>
          <w:trHeight w:val="300"/>
        </w:trPr>
        <w:tc>
          <w:tcPr>
            <w:tcW w:w="0" w:type="auto"/>
            <w:tcBorders>
              <w:top w:val="nil"/>
              <w:left w:val="nil"/>
              <w:bottom w:val="nil"/>
              <w:right w:val="nil"/>
            </w:tcBorders>
            <w:shd w:val="clear" w:color="auto" w:fill="auto"/>
            <w:vAlign w:val="center"/>
            <w:hideMark/>
          </w:tcPr>
          <w:p w14:paraId="490E1C5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3D622ACB"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A108AE1"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hideMark/>
          </w:tcPr>
          <w:p w14:paraId="67ACD179"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BECF2FC"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59F774DD" w14:textId="77777777" w:rsidTr="00937254">
        <w:trPr>
          <w:trHeight w:val="315"/>
        </w:trPr>
        <w:tc>
          <w:tcPr>
            <w:tcW w:w="0" w:type="auto"/>
            <w:tcBorders>
              <w:top w:val="nil"/>
              <w:left w:val="nil"/>
              <w:bottom w:val="nil"/>
              <w:right w:val="nil"/>
            </w:tcBorders>
            <w:shd w:val="clear" w:color="auto" w:fill="auto"/>
            <w:vAlign w:val="center"/>
            <w:hideMark/>
          </w:tcPr>
          <w:p w14:paraId="3C523254"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Net assets</w:t>
            </w:r>
          </w:p>
        </w:tc>
        <w:tc>
          <w:tcPr>
            <w:tcW w:w="0" w:type="auto"/>
            <w:tcBorders>
              <w:top w:val="nil"/>
              <w:left w:val="nil"/>
              <w:bottom w:val="nil"/>
              <w:right w:val="nil"/>
            </w:tcBorders>
            <w:shd w:val="clear" w:color="auto" w:fill="auto"/>
            <w:vAlign w:val="center"/>
            <w:hideMark/>
          </w:tcPr>
          <w:p w14:paraId="386182FA"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double" w:sz="6" w:space="0" w:color="000000"/>
              <w:right w:val="nil"/>
            </w:tcBorders>
            <w:shd w:val="clear" w:color="auto" w:fill="auto"/>
            <w:vAlign w:val="center"/>
            <w:hideMark/>
          </w:tcPr>
          <w:p w14:paraId="0FEA8F1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22,210,505 </w:t>
            </w:r>
          </w:p>
        </w:tc>
        <w:tc>
          <w:tcPr>
            <w:tcW w:w="0" w:type="auto"/>
            <w:tcBorders>
              <w:top w:val="nil"/>
              <w:left w:val="nil"/>
              <w:bottom w:val="nil"/>
              <w:right w:val="nil"/>
            </w:tcBorders>
            <w:shd w:val="clear" w:color="auto" w:fill="auto"/>
            <w:noWrap/>
            <w:vAlign w:val="bottom"/>
            <w:hideMark/>
          </w:tcPr>
          <w:p w14:paraId="347FDF7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double" w:sz="6" w:space="0" w:color="000000"/>
              <w:right w:val="nil"/>
            </w:tcBorders>
            <w:shd w:val="clear" w:color="auto" w:fill="auto"/>
            <w:vAlign w:val="center"/>
            <w:hideMark/>
          </w:tcPr>
          <w:p w14:paraId="28AB981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20,704,183 </w:t>
            </w:r>
          </w:p>
        </w:tc>
      </w:tr>
      <w:tr w:rsidR="00937254" w:rsidRPr="00937254" w14:paraId="0EA3813F" w14:textId="77777777" w:rsidTr="00937254">
        <w:trPr>
          <w:trHeight w:val="315"/>
        </w:trPr>
        <w:tc>
          <w:tcPr>
            <w:tcW w:w="0" w:type="auto"/>
            <w:tcBorders>
              <w:top w:val="nil"/>
              <w:left w:val="nil"/>
              <w:bottom w:val="nil"/>
              <w:right w:val="nil"/>
            </w:tcBorders>
            <w:shd w:val="clear" w:color="auto" w:fill="auto"/>
            <w:vAlign w:val="center"/>
            <w:hideMark/>
          </w:tcPr>
          <w:p w14:paraId="054B247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vMerge w:val="restart"/>
            <w:tcBorders>
              <w:top w:val="nil"/>
              <w:left w:val="nil"/>
              <w:bottom w:val="nil"/>
              <w:right w:val="nil"/>
            </w:tcBorders>
            <w:shd w:val="clear" w:color="auto" w:fill="auto"/>
            <w:vAlign w:val="center"/>
            <w:hideMark/>
          </w:tcPr>
          <w:p w14:paraId="2EC1DAF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val="restart"/>
            <w:tcBorders>
              <w:top w:val="nil"/>
              <w:left w:val="nil"/>
              <w:bottom w:val="nil"/>
              <w:right w:val="nil"/>
            </w:tcBorders>
            <w:shd w:val="clear" w:color="auto" w:fill="auto"/>
            <w:vAlign w:val="center"/>
            <w:hideMark/>
          </w:tcPr>
          <w:p w14:paraId="5DF92BD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auto" w:fill="auto"/>
            <w:noWrap/>
            <w:hideMark/>
          </w:tcPr>
          <w:p w14:paraId="3B148EB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p>
        </w:tc>
        <w:tc>
          <w:tcPr>
            <w:tcW w:w="0" w:type="auto"/>
            <w:vMerge w:val="restart"/>
            <w:tcBorders>
              <w:top w:val="nil"/>
              <w:left w:val="nil"/>
              <w:bottom w:val="nil"/>
              <w:right w:val="nil"/>
            </w:tcBorders>
            <w:shd w:val="clear" w:color="auto" w:fill="auto"/>
            <w:vAlign w:val="center"/>
            <w:hideMark/>
          </w:tcPr>
          <w:p w14:paraId="1EB486C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r>
      <w:tr w:rsidR="00937254" w:rsidRPr="00937254" w14:paraId="36FC4631" w14:textId="77777777" w:rsidTr="00937254">
        <w:trPr>
          <w:trHeight w:val="300"/>
        </w:trPr>
        <w:tc>
          <w:tcPr>
            <w:tcW w:w="0" w:type="auto"/>
            <w:tcBorders>
              <w:top w:val="nil"/>
              <w:left w:val="nil"/>
              <w:bottom w:val="nil"/>
              <w:right w:val="nil"/>
            </w:tcBorders>
            <w:shd w:val="clear" w:color="auto" w:fill="auto"/>
            <w:vAlign w:val="center"/>
            <w:hideMark/>
          </w:tcPr>
          <w:p w14:paraId="31A21884"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Shareholders’ funds</w:t>
            </w:r>
          </w:p>
        </w:tc>
        <w:tc>
          <w:tcPr>
            <w:tcW w:w="0" w:type="auto"/>
            <w:vMerge/>
            <w:tcBorders>
              <w:top w:val="nil"/>
              <w:left w:val="nil"/>
              <w:bottom w:val="nil"/>
              <w:right w:val="nil"/>
            </w:tcBorders>
            <w:vAlign w:val="center"/>
            <w:hideMark/>
          </w:tcPr>
          <w:p w14:paraId="3293567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vMerge/>
            <w:tcBorders>
              <w:top w:val="nil"/>
              <w:left w:val="nil"/>
              <w:bottom w:val="nil"/>
              <w:right w:val="nil"/>
            </w:tcBorders>
            <w:vAlign w:val="center"/>
            <w:hideMark/>
          </w:tcPr>
          <w:p w14:paraId="596A181B"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c>
          <w:tcPr>
            <w:tcW w:w="0" w:type="auto"/>
            <w:tcBorders>
              <w:top w:val="nil"/>
              <w:left w:val="nil"/>
              <w:bottom w:val="nil"/>
              <w:right w:val="nil"/>
            </w:tcBorders>
            <w:shd w:val="clear" w:color="auto" w:fill="auto"/>
            <w:noWrap/>
            <w:vAlign w:val="bottom"/>
            <w:hideMark/>
          </w:tcPr>
          <w:p w14:paraId="562BB912"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vMerge/>
            <w:tcBorders>
              <w:top w:val="nil"/>
              <w:left w:val="nil"/>
              <w:bottom w:val="nil"/>
              <w:right w:val="nil"/>
            </w:tcBorders>
            <w:vAlign w:val="center"/>
            <w:hideMark/>
          </w:tcPr>
          <w:p w14:paraId="6667CBA4" w14:textId="77777777" w:rsidR="00937254" w:rsidRPr="00937254" w:rsidRDefault="00937254" w:rsidP="00937254">
            <w:pPr>
              <w:widowControl/>
              <w:autoSpaceDE/>
              <w:autoSpaceDN/>
              <w:rPr>
                <w:rFonts w:ascii="Arial" w:eastAsia="Times New Roman" w:hAnsi="Arial" w:cs="Arial"/>
                <w:color w:val="000000"/>
                <w:sz w:val="18"/>
                <w:szCs w:val="18"/>
                <w:lang w:bidi="ar-SA"/>
              </w:rPr>
            </w:pPr>
          </w:p>
        </w:tc>
      </w:tr>
      <w:tr w:rsidR="00937254" w:rsidRPr="00937254" w14:paraId="2A0663B3" w14:textId="77777777" w:rsidTr="00937254">
        <w:trPr>
          <w:trHeight w:val="300"/>
        </w:trPr>
        <w:tc>
          <w:tcPr>
            <w:tcW w:w="0" w:type="auto"/>
            <w:tcBorders>
              <w:top w:val="nil"/>
              <w:left w:val="nil"/>
              <w:bottom w:val="nil"/>
              <w:right w:val="nil"/>
            </w:tcBorders>
            <w:shd w:val="clear" w:color="auto" w:fill="auto"/>
            <w:vAlign w:val="center"/>
            <w:hideMark/>
          </w:tcPr>
          <w:p w14:paraId="071DAA0F"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Share capital</w:t>
            </w:r>
          </w:p>
        </w:tc>
        <w:tc>
          <w:tcPr>
            <w:tcW w:w="0" w:type="auto"/>
            <w:tcBorders>
              <w:top w:val="nil"/>
              <w:left w:val="nil"/>
              <w:bottom w:val="nil"/>
              <w:right w:val="nil"/>
            </w:tcBorders>
            <w:shd w:val="clear" w:color="auto" w:fill="auto"/>
            <w:vAlign w:val="center"/>
            <w:hideMark/>
          </w:tcPr>
          <w:p w14:paraId="1811B647"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7A8A777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12,032,779 </w:t>
            </w:r>
          </w:p>
        </w:tc>
        <w:tc>
          <w:tcPr>
            <w:tcW w:w="0" w:type="auto"/>
            <w:tcBorders>
              <w:top w:val="nil"/>
              <w:left w:val="nil"/>
              <w:bottom w:val="nil"/>
              <w:right w:val="nil"/>
            </w:tcBorders>
            <w:shd w:val="clear" w:color="auto" w:fill="auto"/>
            <w:noWrap/>
            <w:vAlign w:val="bottom"/>
            <w:hideMark/>
          </w:tcPr>
          <w:p w14:paraId="2D1505F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1A938FF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11,457,457 </w:t>
            </w:r>
          </w:p>
        </w:tc>
      </w:tr>
      <w:tr w:rsidR="00937254" w:rsidRPr="00937254" w14:paraId="5D4DCFF7" w14:textId="77777777" w:rsidTr="00937254">
        <w:trPr>
          <w:trHeight w:val="300"/>
        </w:trPr>
        <w:tc>
          <w:tcPr>
            <w:tcW w:w="0" w:type="auto"/>
            <w:tcBorders>
              <w:top w:val="nil"/>
              <w:left w:val="nil"/>
              <w:bottom w:val="nil"/>
              <w:right w:val="nil"/>
            </w:tcBorders>
            <w:shd w:val="clear" w:color="auto" w:fill="auto"/>
            <w:vAlign w:val="center"/>
            <w:hideMark/>
          </w:tcPr>
          <w:p w14:paraId="522B9E9F"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lastRenderedPageBreak/>
              <w:t>Share premium</w:t>
            </w:r>
          </w:p>
        </w:tc>
        <w:tc>
          <w:tcPr>
            <w:tcW w:w="0" w:type="auto"/>
            <w:tcBorders>
              <w:top w:val="nil"/>
              <w:left w:val="nil"/>
              <w:bottom w:val="nil"/>
              <w:right w:val="nil"/>
            </w:tcBorders>
            <w:shd w:val="clear" w:color="auto" w:fill="auto"/>
            <w:vAlign w:val="center"/>
            <w:hideMark/>
          </w:tcPr>
          <w:p w14:paraId="6E71165F"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37427D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51,389,162 </w:t>
            </w:r>
          </w:p>
        </w:tc>
        <w:tc>
          <w:tcPr>
            <w:tcW w:w="0" w:type="auto"/>
            <w:tcBorders>
              <w:top w:val="nil"/>
              <w:left w:val="nil"/>
              <w:bottom w:val="nil"/>
              <w:right w:val="nil"/>
            </w:tcBorders>
            <w:shd w:val="clear" w:color="auto" w:fill="auto"/>
            <w:noWrap/>
            <w:vAlign w:val="bottom"/>
            <w:hideMark/>
          </w:tcPr>
          <w:p w14:paraId="1A28F0D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FAB64F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33,923,172 </w:t>
            </w:r>
          </w:p>
        </w:tc>
      </w:tr>
      <w:tr w:rsidR="00937254" w:rsidRPr="00937254" w14:paraId="7AD84606" w14:textId="77777777" w:rsidTr="00937254">
        <w:trPr>
          <w:trHeight w:val="300"/>
        </w:trPr>
        <w:tc>
          <w:tcPr>
            <w:tcW w:w="0" w:type="auto"/>
            <w:tcBorders>
              <w:top w:val="nil"/>
              <w:left w:val="nil"/>
              <w:bottom w:val="nil"/>
              <w:right w:val="nil"/>
            </w:tcBorders>
            <w:shd w:val="clear" w:color="auto" w:fill="auto"/>
            <w:vAlign w:val="center"/>
            <w:hideMark/>
          </w:tcPr>
          <w:p w14:paraId="0D302E52"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Merger reserve</w:t>
            </w:r>
          </w:p>
        </w:tc>
        <w:tc>
          <w:tcPr>
            <w:tcW w:w="0" w:type="auto"/>
            <w:tcBorders>
              <w:top w:val="nil"/>
              <w:left w:val="nil"/>
              <w:bottom w:val="nil"/>
              <w:right w:val="nil"/>
            </w:tcBorders>
            <w:shd w:val="clear" w:color="auto" w:fill="auto"/>
            <w:vAlign w:val="center"/>
            <w:hideMark/>
          </w:tcPr>
          <w:p w14:paraId="0C6DAF5F"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6ED901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8,988,112 </w:t>
            </w:r>
          </w:p>
        </w:tc>
        <w:tc>
          <w:tcPr>
            <w:tcW w:w="0" w:type="auto"/>
            <w:tcBorders>
              <w:top w:val="nil"/>
              <w:left w:val="nil"/>
              <w:bottom w:val="nil"/>
              <w:right w:val="nil"/>
            </w:tcBorders>
            <w:shd w:val="clear" w:color="auto" w:fill="auto"/>
            <w:noWrap/>
            <w:vAlign w:val="bottom"/>
            <w:hideMark/>
          </w:tcPr>
          <w:p w14:paraId="42BDFEF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DEA916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8,988,112 </w:t>
            </w:r>
          </w:p>
        </w:tc>
      </w:tr>
      <w:tr w:rsidR="00937254" w:rsidRPr="00937254" w14:paraId="39FF05C9" w14:textId="77777777" w:rsidTr="00937254">
        <w:trPr>
          <w:trHeight w:val="300"/>
        </w:trPr>
        <w:tc>
          <w:tcPr>
            <w:tcW w:w="0" w:type="auto"/>
            <w:tcBorders>
              <w:top w:val="nil"/>
              <w:left w:val="nil"/>
              <w:bottom w:val="nil"/>
              <w:right w:val="nil"/>
            </w:tcBorders>
            <w:shd w:val="clear" w:color="auto" w:fill="auto"/>
            <w:vAlign w:val="center"/>
            <w:hideMark/>
          </w:tcPr>
          <w:p w14:paraId="560343D2"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Share based payment reserve</w:t>
            </w:r>
          </w:p>
        </w:tc>
        <w:tc>
          <w:tcPr>
            <w:tcW w:w="0" w:type="auto"/>
            <w:tcBorders>
              <w:top w:val="nil"/>
              <w:left w:val="nil"/>
              <w:bottom w:val="nil"/>
              <w:right w:val="nil"/>
            </w:tcBorders>
            <w:shd w:val="clear" w:color="auto" w:fill="auto"/>
            <w:vAlign w:val="center"/>
            <w:hideMark/>
          </w:tcPr>
          <w:p w14:paraId="564DC201"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0187DB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252,036 </w:t>
            </w:r>
          </w:p>
        </w:tc>
        <w:tc>
          <w:tcPr>
            <w:tcW w:w="0" w:type="auto"/>
            <w:tcBorders>
              <w:top w:val="nil"/>
              <w:left w:val="nil"/>
              <w:bottom w:val="nil"/>
              <w:right w:val="nil"/>
            </w:tcBorders>
            <w:shd w:val="clear" w:color="auto" w:fill="auto"/>
            <w:noWrap/>
            <w:vAlign w:val="bottom"/>
            <w:hideMark/>
          </w:tcPr>
          <w:p w14:paraId="469C087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AFE549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125,673 </w:t>
            </w:r>
          </w:p>
        </w:tc>
      </w:tr>
      <w:tr w:rsidR="00937254" w:rsidRPr="00937254" w14:paraId="1C5E496E" w14:textId="77777777" w:rsidTr="00937254">
        <w:trPr>
          <w:trHeight w:val="300"/>
        </w:trPr>
        <w:tc>
          <w:tcPr>
            <w:tcW w:w="0" w:type="auto"/>
            <w:tcBorders>
              <w:top w:val="nil"/>
              <w:left w:val="nil"/>
              <w:bottom w:val="nil"/>
              <w:right w:val="nil"/>
            </w:tcBorders>
            <w:shd w:val="clear" w:color="auto" w:fill="auto"/>
            <w:vAlign w:val="center"/>
            <w:hideMark/>
          </w:tcPr>
          <w:p w14:paraId="078DB209"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Revaluation reserve</w:t>
            </w:r>
          </w:p>
        </w:tc>
        <w:tc>
          <w:tcPr>
            <w:tcW w:w="0" w:type="auto"/>
            <w:tcBorders>
              <w:top w:val="nil"/>
              <w:left w:val="nil"/>
              <w:bottom w:val="nil"/>
              <w:right w:val="nil"/>
            </w:tcBorders>
            <w:shd w:val="clear" w:color="auto" w:fill="auto"/>
            <w:vAlign w:val="center"/>
            <w:hideMark/>
          </w:tcPr>
          <w:p w14:paraId="61F3B7B8"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DDBED6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6,074,895 </w:t>
            </w:r>
          </w:p>
        </w:tc>
        <w:tc>
          <w:tcPr>
            <w:tcW w:w="0" w:type="auto"/>
            <w:tcBorders>
              <w:top w:val="nil"/>
              <w:left w:val="nil"/>
              <w:bottom w:val="nil"/>
              <w:right w:val="nil"/>
            </w:tcBorders>
            <w:shd w:val="clear" w:color="auto" w:fill="auto"/>
            <w:noWrap/>
            <w:vAlign w:val="bottom"/>
            <w:hideMark/>
          </w:tcPr>
          <w:p w14:paraId="592E6C6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50217F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6,074,895 </w:t>
            </w:r>
          </w:p>
        </w:tc>
      </w:tr>
      <w:tr w:rsidR="00937254" w:rsidRPr="00937254" w14:paraId="68141141" w14:textId="77777777" w:rsidTr="00937254">
        <w:trPr>
          <w:trHeight w:val="315"/>
        </w:trPr>
        <w:tc>
          <w:tcPr>
            <w:tcW w:w="0" w:type="auto"/>
            <w:tcBorders>
              <w:top w:val="nil"/>
              <w:left w:val="nil"/>
              <w:bottom w:val="nil"/>
              <w:right w:val="nil"/>
            </w:tcBorders>
            <w:shd w:val="clear" w:color="auto" w:fill="auto"/>
            <w:vAlign w:val="center"/>
            <w:hideMark/>
          </w:tcPr>
          <w:p w14:paraId="6833CD9C"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Retained earnings</w:t>
            </w:r>
          </w:p>
        </w:tc>
        <w:tc>
          <w:tcPr>
            <w:tcW w:w="0" w:type="auto"/>
            <w:tcBorders>
              <w:top w:val="nil"/>
              <w:left w:val="nil"/>
              <w:bottom w:val="nil"/>
              <w:right w:val="nil"/>
            </w:tcBorders>
            <w:shd w:val="clear" w:color="auto" w:fill="auto"/>
            <w:vAlign w:val="center"/>
            <w:hideMark/>
          </w:tcPr>
          <w:p w14:paraId="2663D2E8" w14:textId="77777777" w:rsidR="00937254" w:rsidRPr="00937254" w:rsidRDefault="00937254" w:rsidP="00937254">
            <w:pPr>
              <w:widowControl/>
              <w:autoSpaceDE/>
              <w:autoSpaceDN/>
              <w:ind w:firstLineChars="100" w:firstLine="200"/>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5E9EE41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(56,526,479)</w:t>
            </w:r>
          </w:p>
        </w:tc>
        <w:tc>
          <w:tcPr>
            <w:tcW w:w="0" w:type="auto"/>
            <w:tcBorders>
              <w:top w:val="nil"/>
              <w:left w:val="nil"/>
              <w:bottom w:val="nil"/>
              <w:right w:val="nil"/>
            </w:tcBorders>
            <w:shd w:val="clear" w:color="auto" w:fill="auto"/>
            <w:noWrap/>
            <w:vAlign w:val="bottom"/>
            <w:hideMark/>
          </w:tcPr>
          <w:p w14:paraId="10A085E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793E5A1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(39,865,126)</w:t>
            </w:r>
          </w:p>
        </w:tc>
      </w:tr>
      <w:tr w:rsidR="00937254" w:rsidRPr="00937254" w14:paraId="338C77F4" w14:textId="77777777" w:rsidTr="00937254">
        <w:trPr>
          <w:trHeight w:val="315"/>
        </w:trPr>
        <w:tc>
          <w:tcPr>
            <w:tcW w:w="0" w:type="auto"/>
            <w:tcBorders>
              <w:top w:val="nil"/>
              <w:left w:val="nil"/>
              <w:bottom w:val="nil"/>
              <w:right w:val="nil"/>
            </w:tcBorders>
            <w:shd w:val="clear" w:color="auto" w:fill="auto"/>
            <w:vAlign w:val="center"/>
            <w:hideMark/>
          </w:tcPr>
          <w:p w14:paraId="64E6DB3B"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Total equity</w:t>
            </w:r>
          </w:p>
        </w:tc>
        <w:tc>
          <w:tcPr>
            <w:tcW w:w="0" w:type="auto"/>
            <w:tcBorders>
              <w:top w:val="nil"/>
              <w:left w:val="nil"/>
              <w:bottom w:val="nil"/>
              <w:right w:val="nil"/>
            </w:tcBorders>
            <w:shd w:val="clear" w:color="auto" w:fill="auto"/>
            <w:vAlign w:val="center"/>
            <w:hideMark/>
          </w:tcPr>
          <w:p w14:paraId="07754080"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double" w:sz="6" w:space="0" w:color="000000"/>
              <w:right w:val="nil"/>
            </w:tcBorders>
            <w:shd w:val="clear" w:color="auto" w:fill="auto"/>
            <w:vAlign w:val="center"/>
            <w:hideMark/>
          </w:tcPr>
          <w:p w14:paraId="38382EB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22,210,505 </w:t>
            </w:r>
          </w:p>
        </w:tc>
        <w:tc>
          <w:tcPr>
            <w:tcW w:w="0" w:type="auto"/>
            <w:tcBorders>
              <w:top w:val="nil"/>
              <w:left w:val="nil"/>
              <w:bottom w:val="nil"/>
              <w:right w:val="nil"/>
            </w:tcBorders>
            <w:shd w:val="clear" w:color="auto" w:fill="auto"/>
            <w:noWrap/>
            <w:vAlign w:val="bottom"/>
            <w:hideMark/>
          </w:tcPr>
          <w:p w14:paraId="5E64EF8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double" w:sz="6" w:space="0" w:color="000000"/>
              <w:right w:val="nil"/>
            </w:tcBorders>
            <w:shd w:val="clear" w:color="auto" w:fill="auto"/>
            <w:vAlign w:val="center"/>
            <w:hideMark/>
          </w:tcPr>
          <w:p w14:paraId="61451D9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20,704,183 </w:t>
            </w:r>
          </w:p>
        </w:tc>
      </w:tr>
    </w:tbl>
    <w:p w14:paraId="7C796D38" w14:textId="596009E8" w:rsidR="006D2D0D" w:rsidRPr="00DB2968" w:rsidRDefault="006D2D0D" w:rsidP="0089653F">
      <w:pPr>
        <w:tabs>
          <w:tab w:val="left" w:pos="989"/>
        </w:tabs>
        <w:rPr>
          <w:rFonts w:asciiTheme="minorHAnsi" w:hAnsiTheme="minorHAnsi" w:cstheme="minorHAnsi"/>
          <w:sz w:val="20"/>
          <w:szCs w:val="20"/>
        </w:rPr>
      </w:pPr>
    </w:p>
    <w:p w14:paraId="54690031" w14:textId="5B393BC1" w:rsidR="006D2D0D" w:rsidRPr="00DB2968" w:rsidRDefault="006D2D0D" w:rsidP="0089653F">
      <w:pPr>
        <w:tabs>
          <w:tab w:val="left" w:pos="989"/>
        </w:tabs>
        <w:rPr>
          <w:rFonts w:asciiTheme="minorHAnsi" w:hAnsiTheme="minorHAnsi" w:cstheme="minorHAnsi"/>
          <w:sz w:val="20"/>
          <w:szCs w:val="20"/>
        </w:rPr>
      </w:pPr>
    </w:p>
    <w:p w14:paraId="3DB640CB" w14:textId="13E071E2" w:rsidR="006D2D0D" w:rsidRPr="00DB2968" w:rsidRDefault="006D2D0D" w:rsidP="0089653F">
      <w:pPr>
        <w:tabs>
          <w:tab w:val="left" w:pos="989"/>
        </w:tabs>
        <w:rPr>
          <w:rFonts w:asciiTheme="minorHAnsi" w:hAnsiTheme="minorHAnsi" w:cstheme="minorHAnsi"/>
          <w:sz w:val="20"/>
          <w:szCs w:val="20"/>
        </w:rPr>
      </w:pPr>
    </w:p>
    <w:p w14:paraId="247D9F2E" w14:textId="02506468" w:rsidR="006D2D0D" w:rsidRPr="00DB2968" w:rsidRDefault="006D2D0D" w:rsidP="0089653F">
      <w:pPr>
        <w:tabs>
          <w:tab w:val="left" w:pos="989"/>
        </w:tabs>
        <w:rPr>
          <w:rFonts w:asciiTheme="minorHAnsi" w:hAnsiTheme="minorHAnsi" w:cstheme="minorHAnsi"/>
          <w:sz w:val="20"/>
          <w:szCs w:val="20"/>
        </w:rPr>
      </w:pPr>
    </w:p>
    <w:p w14:paraId="6128A233" w14:textId="6EE3761D" w:rsidR="006D2D0D" w:rsidRPr="00DB2968" w:rsidRDefault="006D2D0D" w:rsidP="0089653F">
      <w:pPr>
        <w:tabs>
          <w:tab w:val="left" w:pos="989"/>
        </w:tabs>
        <w:rPr>
          <w:rFonts w:asciiTheme="minorHAnsi" w:hAnsiTheme="minorHAnsi" w:cstheme="minorHAnsi"/>
          <w:sz w:val="20"/>
          <w:szCs w:val="20"/>
        </w:rPr>
      </w:pPr>
    </w:p>
    <w:p w14:paraId="2737237C" w14:textId="095903B9" w:rsidR="006D2D0D" w:rsidRPr="00DB2968" w:rsidRDefault="006D2D0D" w:rsidP="0089653F">
      <w:pPr>
        <w:tabs>
          <w:tab w:val="left" w:pos="989"/>
        </w:tabs>
        <w:rPr>
          <w:rFonts w:asciiTheme="minorHAnsi" w:hAnsiTheme="minorHAnsi" w:cstheme="minorHAnsi"/>
          <w:sz w:val="20"/>
          <w:szCs w:val="20"/>
        </w:rPr>
      </w:pPr>
    </w:p>
    <w:p w14:paraId="36F0821C" w14:textId="43BC44F6" w:rsidR="006D2D0D" w:rsidRPr="00DB2968" w:rsidRDefault="006D2D0D" w:rsidP="0089653F">
      <w:pPr>
        <w:tabs>
          <w:tab w:val="left" w:pos="989"/>
        </w:tabs>
        <w:rPr>
          <w:rFonts w:asciiTheme="minorHAnsi" w:hAnsiTheme="minorHAnsi" w:cstheme="minorHAnsi"/>
          <w:sz w:val="20"/>
          <w:szCs w:val="20"/>
        </w:rPr>
      </w:pPr>
    </w:p>
    <w:p w14:paraId="28AE7493" w14:textId="47BAF1C3" w:rsidR="006D2D0D" w:rsidRPr="00DB2968" w:rsidRDefault="006D2D0D" w:rsidP="0089653F">
      <w:pPr>
        <w:tabs>
          <w:tab w:val="left" w:pos="989"/>
        </w:tabs>
        <w:rPr>
          <w:rFonts w:asciiTheme="minorHAnsi" w:hAnsiTheme="minorHAnsi" w:cstheme="minorHAnsi"/>
          <w:sz w:val="20"/>
          <w:szCs w:val="20"/>
        </w:rPr>
      </w:pPr>
    </w:p>
    <w:p w14:paraId="69D98ED1" w14:textId="5A48E4FB" w:rsidR="006D2D0D" w:rsidRPr="00DB2968" w:rsidRDefault="006D2D0D" w:rsidP="0089653F">
      <w:pPr>
        <w:tabs>
          <w:tab w:val="left" w:pos="989"/>
        </w:tabs>
        <w:rPr>
          <w:rFonts w:asciiTheme="minorHAnsi" w:hAnsiTheme="minorHAnsi" w:cstheme="minorHAnsi"/>
          <w:sz w:val="20"/>
          <w:szCs w:val="20"/>
        </w:rPr>
      </w:pPr>
    </w:p>
    <w:p w14:paraId="39855118" w14:textId="4A84CC60" w:rsidR="006D2D0D" w:rsidRPr="00DB2968" w:rsidRDefault="006D2D0D" w:rsidP="0089653F">
      <w:pPr>
        <w:tabs>
          <w:tab w:val="left" w:pos="989"/>
        </w:tabs>
        <w:rPr>
          <w:rFonts w:asciiTheme="minorHAnsi" w:hAnsiTheme="minorHAnsi" w:cstheme="minorHAnsi"/>
          <w:sz w:val="20"/>
          <w:szCs w:val="20"/>
        </w:rPr>
      </w:pPr>
    </w:p>
    <w:p w14:paraId="63A163BA" w14:textId="417BC324" w:rsidR="006D2D0D" w:rsidRPr="00DB2968" w:rsidRDefault="006D2D0D" w:rsidP="0089653F">
      <w:pPr>
        <w:tabs>
          <w:tab w:val="left" w:pos="989"/>
        </w:tabs>
        <w:rPr>
          <w:rFonts w:asciiTheme="minorHAnsi" w:hAnsiTheme="minorHAnsi" w:cstheme="minorHAnsi"/>
          <w:sz w:val="20"/>
          <w:szCs w:val="20"/>
        </w:rPr>
      </w:pPr>
    </w:p>
    <w:p w14:paraId="43FA1D7C" w14:textId="6D49FCFB" w:rsidR="006D2D0D" w:rsidRPr="00DB2968" w:rsidRDefault="006D2D0D" w:rsidP="0089653F">
      <w:pPr>
        <w:tabs>
          <w:tab w:val="left" w:pos="989"/>
        </w:tabs>
        <w:rPr>
          <w:rFonts w:asciiTheme="minorHAnsi" w:hAnsiTheme="minorHAnsi" w:cstheme="minorHAnsi"/>
          <w:sz w:val="20"/>
          <w:szCs w:val="20"/>
        </w:rPr>
      </w:pPr>
    </w:p>
    <w:p w14:paraId="4A7B0858" w14:textId="6CFBE5D1" w:rsidR="006D2D0D" w:rsidRPr="00DB2968" w:rsidRDefault="006D2D0D" w:rsidP="0089653F">
      <w:pPr>
        <w:tabs>
          <w:tab w:val="left" w:pos="989"/>
        </w:tabs>
        <w:rPr>
          <w:rFonts w:asciiTheme="minorHAnsi" w:hAnsiTheme="minorHAnsi" w:cstheme="minorHAnsi"/>
          <w:sz w:val="20"/>
          <w:szCs w:val="20"/>
        </w:rPr>
      </w:pPr>
    </w:p>
    <w:p w14:paraId="16AC7891" w14:textId="719A0D0B" w:rsidR="006D2D0D" w:rsidRPr="00DB2968" w:rsidRDefault="006D2D0D" w:rsidP="0089653F">
      <w:pPr>
        <w:tabs>
          <w:tab w:val="left" w:pos="989"/>
        </w:tabs>
        <w:rPr>
          <w:rFonts w:asciiTheme="minorHAnsi" w:hAnsiTheme="minorHAnsi" w:cstheme="minorHAnsi"/>
          <w:sz w:val="20"/>
          <w:szCs w:val="20"/>
        </w:rPr>
      </w:pPr>
    </w:p>
    <w:p w14:paraId="3DF34BF1" w14:textId="39B53A96" w:rsidR="006D2D0D" w:rsidRPr="00DB2968" w:rsidRDefault="006D2D0D" w:rsidP="0089653F">
      <w:pPr>
        <w:tabs>
          <w:tab w:val="left" w:pos="989"/>
        </w:tabs>
        <w:rPr>
          <w:rFonts w:asciiTheme="minorHAnsi" w:hAnsiTheme="minorHAnsi" w:cstheme="minorHAnsi"/>
          <w:sz w:val="20"/>
          <w:szCs w:val="20"/>
        </w:rPr>
      </w:pPr>
    </w:p>
    <w:p w14:paraId="789564C1" w14:textId="16473F45" w:rsidR="006D2D0D" w:rsidRPr="00DB2968" w:rsidRDefault="006D2D0D" w:rsidP="0089653F">
      <w:pPr>
        <w:tabs>
          <w:tab w:val="left" w:pos="989"/>
        </w:tabs>
        <w:rPr>
          <w:rFonts w:asciiTheme="minorHAnsi" w:hAnsiTheme="minorHAnsi" w:cstheme="minorHAnsi"/>
          <w:sz w:val="20"/>
          <w:szCs w:val="20"/>
        </w:rPr>
      </w:pPr>
    </w:p>
    <w:p w14:paraId="4652F6FC" w14:textId="77D9EEDF" w:rsidR="006D2D0D" w:rsidRPr="00DB2968" w:rsidRDefault="006D2D0D" w:rsidP="0089653F">
      <w:pPr>
        <w:tabs>
          <w:tab w:val="left" w:pos="989"/>
        </w:tabs>
        <w:rPr>
          <w:rFonts w:asciiTheme="minorHAnsi" w:hAnsiTheme="minorHAnsi" w:cstheme="minorHAnsi"/>
          <w:sz w:val="20"/>
          <w:szCs w:val="20"/>
        </w:rPr>
      </w:pPr>
    </w:p>
    <w:p w14:paraId="7EADCC3B" w14:textId="6C80F0F0" w:rsidR="006D2D0D" w:rsidRPr="00DB2968" w:rsidRDefault="006D2D0D" w:rsidP="0089653F">
      <w:pPr>
        <w:tabs>
          <w:tab w:val="left" w:pos="989"/>
        </w:tabs>
        <w:rPr>
          <w:rFonts w:asciiTheme="minorHAnsi" w:hAnsiTheme="minorHAnsi" w:cstheme="minorHAnsi"/>
          <w:sz w:val="20"/>
          <w:szCs w:val="20"/>
        </w:rPr>
      </w:pPr>
    </w:p>
    <w:p w14:paraId="29A80A9E" w14:textId="2EAC2ABD" w:rsidR="006D2D0D" w:rsidRPr="00DB2968" w:rsidRDefault="006D2D0D" w:rsidP="0089653F">
      <w:pPr>
        <w:tabs>
          <w:tab w:val="left" w:pos="989"/>
        </w:tabs>
        <w:rPr>
          <w:rFonts w:asciiTheme="minorHAnsi" w:hAnsiTheme="minorHAnsi" w:cstheme="minorHAnsi"/>
          <w:sz w:val="20"/>
          <w:szCs w:val="20"/>
        </w:rPr>
      </w:pPr>
    </w:p>
    <w:p w14:paraId="1DF0583F" w14:textId="28763C95" w:rsidR="006D2D0D" w:rsidRPr="00DB2968" w:rsidRDefault="006D2D0D" w:rsidP="0089653F">
      <w:pPr>
        <w:tabs>
          <w:tab w:val="left" w:pos="989"/>
        </w:tabs>
        <w:rPr>
          <w:rFonts w:asciiTheme="minorHAnsi" w:hAnsiTheme="minorHAnsi" w:cstheme="minorHAnsi"/>
          <w:sz w:val="20"/>
          <w:szCs w:val="20"/>
        </w:rPr>
      </w:pPr>
    </w:p>
    <w:p w14:paraId="5AFEF5D8" w14:textId="022A57E2" w:rsidR="006D2D0D" w:rsidRPr="00DB2968" w:rsidRDefault="006D2D0D" w:rsidP="0089653F">
      <w:pPr>
        <w:tabs>
          <w:tab w:val="left" w:pos="989"/>
        </w:tabs>
        <w:rPr>
          <w:rFonts w:asciiTheme="minorHAnsi" w:hAnsiTheme="minorHAnsi" w:cstheme="minorHAnsi"/>
          <w:sz w:val="20"/>
          <w:szCs w:val="20"/>
        </w:rPr>
      </w:pPr>
    </w:p>
    <w:p w14:paraId="2D7A289C" w14:textId="4274A24B" w:rsidR="006D2D0D" w:rsidRPr="00DB2968" w:rsidRDefault="006D2D0D" w:rsidP="0089653F">
      <w:pPr>
        <w:tabs>
          <w:tab w:val="left" w:pos="989"/>
        </w:tabs>
        <w:rPr>
          <w:rFonts w:asciiTheme="minorHAnsi" w:hAnsiTheme="minorHAnsi" w:cstheme="minorHAnsi"/>
          <w:sz w:val="20"/>
          <w:szCs w:val="20"/>
        </w:rPr>
      </w:pPr>
    </w:p>
    <w:p w14:paraId="0F82FBE1" w14:textId="2F05980B" w:rsidR="006D2D0D" w:rsidRPr="00DB2968" w:rsidRDefault="006D2D0D" w:rsidP="0089653F">
      <w:pPr>
        <w:tabs>
          <w:tab w:val="left" w:pos="989"/>
        </w:tabs>
        <w:rPr>
          <w:rFonts w:asciiTheme="minorHAnsi" w:hAnsiTheme="minorHAnsi" w:cstheme="minorHAnsi"/>
          <w:sz w:val="20"/>
          <w:szCs w:val="20"/>
        </w:rPr>
      </w:pPr>
    </w:p>
    <w:p w14:paraId="04A6A568" w14:textId="08243E3B" w:rsidR="006D2D0D" w:rsidRPr="00DB2968" w:rsidRDefault="006D2D0D" w:rsidP="0089653F">
      <w:pPr>
        <w:tabs>
          <w:tab w:val="left" w:pos="989"/>
        </w:tabs>
        <w:rPr>
          <w:rFonts w:asciiTheme="minorHAnsi" w:hAnsiTheme="minorHAnsi" w:cstheme="minorHAnsi"/>
          <w:sz w:val="20"/>
          <w:szCs w:val="20"/>
        </w:rPr>
      </w:pPr>
    </w:p>
    <w:p w14:paraId="717420CB" w14:textId="0F1AF0E7" w:rsidR="006D2D0D" w:rsidRPr="00DB2968" w:rsidRDefault="006D2D0D" w:rsidP="0089653F">
      <w:pPr>
        <w:tabs>
          <w:tab w:val="left" w:pos="989"/>
        </w:tabs>
        <w:rPr>
          <w:rFonts w:asciiTheme="minorHAnsi" w:hAnsiTheme="minorHAnsi" w:cstheme="minorHAnsi"/>
          <w:sz w:val="20"/>
          <w:szCs w:val="20"/>
        </w:rPr>
      </w:pPr>
    </w:p>
    <w:p w14:paraId="179889CA" w14:textId="51EAC2E1" w:rsidR="006D2D0D" w:rsidRPr="00DB2968" w:rsidRDefault="006D2D0D" w:rsidP="0089653F">
      <w:pPr>
        <w:tabs>
          <w:tab w:val="left" w:pos="989"/>
        </w:tabs>
        <w:rPr>
          <w:rFonts w:asciiTheme="minorHAnsi" w:hAnsiTheme="minorHAnsi" w:cstheme="minorHAnsi"/>
          <w:sz w:val="20"/>
          <w:szCs w:val="20"/>
        </w:rPr>
      </w:pPr>
    </w:p>
    <w:p w14:paraId="364309EE" w14:textId="44E0C148" w:rsidR="006D2D0D" w:rsidRPr="00DB2968" w:rsidRDefault="006D2D0D" w:rsidP="0089653F">
      <w:pPr>
        <w:tabs>
          <w:tab w:val="left" w:pos="989"/>
        </w:tabs>
        <w:rPr>
          <w:rFonts w:asciiTheme="minorHAnsi" w:hAnsiTheme="minorHAnsi" w:cstheme="minorHAnsi"/>
          <w:sz w:val="20"/>
          <w:szCs w:val="20"/>
        </w:rPr>
      </w:pPr>
    </w:p>
    <w:p w14:paraId="7D63CE7B" w14:textId="78F53107" w:rsidR="006D2D0D" w:rsidRPr="00DB2968" w:rsidRDefault="006D2D0D" w:rsidP="0089653F">
      <w:pPr>
        <w:tabs>
          <w:tab w:val="left" w:pos="989"/>
        </w:tabs>
        <w:rPr>
          <w:rFonts w:asciiTheme="minorHAnsi" w:hAnsiTheme="minorHAnsi" w:cstheme="minorHAnsi"/>
          <w:sz w:val="20"/>
          <w:szCs w:val="20"/>
        </w:rPr>
      </w:pPr>
    </w:p>
    <w:p w14:paraId="7166CC8E" w14:textId="0FC25CE6" w:rsidR="006D2D0D" w:rsidRPr="00DB2968" w:rsidRDefault="006D2D0D" w:rsidP="0089653F">
      <w:pPr>
        <w:tabs>
          <w:tab w:val="left" w:pos="989"/>
        </w:tabs>
        <w:rPr>
          <w:rFonts w:asciiTheme="minorHAnsi" w:hAnsiTheme="minorHAnsi" w:cstheme="minorHAnsi"/>
          <w:sz w:val="20"/>
          <w:szCs w:val="20"/>
        </w:rPr>
      </w:pPr>
    </w:p>
    <w:p w14:paraId="2E729A07" w14:textId="7D8BDA67" w:rsidR="006D2D0D" w:rsidRPr="00DB2968" w:rsidRDefault="006D2D0D" w:rsidP="0089653F">
      <w:pPr>
        <w:tabs>
          <w:tab w:val="left" w:pos="989"/>
        </w:tabs>
        <w:rPr>
          <w:rFonts w:asciiTheme="minorHAnsi" w:hAnsiTheme="minorHAnsi" w:cstheme="minorHAnsi"/>
          <w:sz w:val="20"/>
          <w:szCs w:val="20"/>
        </w:rPr>
      </w:pPr>
    </w:p>
    <w:p w14:paraId="794695C7" w14:textId="23ECF6F2" w:rsidR="006D2D0D" w:rsidRPr="00DB2968" w:rsidRDefault="006D2D0D" w:rsidP="0089653F">
      <w:pPr>
        <w:tabs>
          <w:tab w:val="left" w:pos="989"/>
        </w:tabs>
        <w:rPr>
          <w:rFonts w:asciiTheme="minorHAnsi" w:hAnsiTheme="minorHAnsi" w:cstheme="minorHAnsi"/>
          <w:sz w:val="20"/>
          <w:szCs w:val="20"/>
        </w:rPr>
      </w:pPr>
    </w:p>
    <w:p w14:paraId="54CA5AEF" w14:textId="720F656D" w:rsidR="006D2D0D" w:rsidRPr="00DB2968" w:rsidRDefault="006D2D0D" w:rsidP="0089653F">
      <w:pPr>
        <w:tabs>
          <w:tab w:val="left" w:pos="989"/>
        </w:tabs>
        <w:rPr>
          <w:rFonts w:asciiTheme="minorHAnsi" w:hAnsiTheme="minorHAnsi" w:cstheme="minorHAnsi"/>
          <w:sz w:val="20"/>
          <w:szCs w:val="20"/>
        </w:rPr>
      </w:pPr>
    </w:p>
    <w:p w14:paraId="53B3084C" w14:textId="165235A3" w:rsidR="006D2D0D" w:rsidRPr="00DB2968" w:rsidRDefault="006D2D0D" w:rsidP="0089653F">
      <w:pPr>
        <w:tabs>
          <w:tab w:val="left" w:pos="989"/>
        </w:tabs>
        <w:rPr>
          <w:rFonts w:asciiTheme="minorHAnsi" w:hAnsiTheme="minorHAnsi" w:cstheme="minorHAnsi"/>
          <w:sz w:val="20"/>
          <w:szCs w:val="20"/>
        </w:rPr>
      </w:pPr>
    </w:p>
    <w:p w14:paraId="6AE06283" w14:textId="3D30338D" w:rsidR="006D2D0D" w:rsidRPr="00DB2968" w:rsidRDefault="006D2D0D" w:rsidP="0089653F">
      <w:pPr>
        <w:tabs>
          <w:tab w:val="left" w:pos="989"/>
        </w:tabs>
        <w:rPr>
          <w:rFonts w:asciiTheme="minorHAnsi" w:hAnsiTheme="minorHAnsi" w:cstheme="minorHAnsi"/>
          <w:sz w:val="20"/>
          <w:szCs w:val="20"/>
        </w:rPr>
      </w:pPr>
    </w:p>
    <w:p w14:paraId="7D367AB7" w14:textId="2E0EBE29" w:rsidR="006D2D0D" w:rsidRPr="00DB2968" w:rsidRDefault="006D2D0D" w:rsidP="0089653F">
      <w:pPr>
        <w:tabs>
          <w:tab w:val="left" w:pos="989"/>
        </w:tabs>
        <w:rPr>
          <w:rFonts w:asciiTheme="minorHAnsi" w:hAnsiTheme="minorHAnsi" w:cstheme="minorHAnsi"/>
          <w:sz w:val="20"/>
          <w:szCs w:val="20"/>
        </w:rPr>
      </w:pPr>
    </w:p>
    <w:p w14:paraId="06A1F228" w14:textId="0DD3920B" w:rsidR="006D2D0D" w:rsidRPr="00DB2968" w:rsidRDefault="006D2D0D" w:rsidP="0089653F">
      <w:pPr>
        <w:tabs>
          <w:tab w:val="left" w:pos="989"/>
        </w:tabs>
        <w:rPr>
          <w:rFonts w:asciiTheme="minorHAnsi" w:hAnsiTheme="minorHAnsi" w:cstheme="minorHAnsi"/>
          <w:sz w:val="20"/>
          <w:szCs w:val="20"/>
        </w:rPr>
      </w:pPr>
    </w:p>
    <w:p w14:paraId="08967B9A" w14:textId="101080FD" w:rsidR="006D2D0D" w:rsidRPr="00DB2968" w:rsidRDefault="006D2D0D" w:rsidP="0089653F">
      <w:pPr>
        <w:tabs>
          <w:tab w:val="left" w:pos="989"/>
        </w:tabs>
        <w:rPr>
          <w:rFonts w:asciiTheme="minorHAnsi" w:hAnsiTheme="minorHAnsi" w:cstheme="minorHAnsi"/>
          <w:sz w:val="20"/>
          <w:szCs w:val="20"/>
        </w:rPr>
      </w:pPr>
    </w:p>
    <w:p w14:paraId="64312CAB" w14:textId="4D8B9641" w:rsidR="006D2D0D" w:rsidRPr="00DB2968" w:rsidRDefault="006D2D0D" w:rsidP="0089653F">
      <w:pPr>
        <w:tabs>
          <w:tab w:val="left" w:pos="989"/>
        </w:tabs>
        <w:rPr>
          <w:rFonts w:asciiTheme="minorHAnsi" w:hAnsiTheme="minorHAnsi" w:cstheme="minorHAnsi"/>
          <w:sz w:val="20"/>
          <w:szCs w:val="20"/>
        </w:rPr>
      </w:pPr>
    </w:p>
    <w:p w14:paraId="7F10184C" w14:textId="27810FE6" w:rsidR="006D2D0D" w:rsidRPr="00DB2968" w:rsidRDefault="006D2D0D" w:rsidP="0089653F">
      <w:pPr>
        <w:tabs>
          <w:tab w:val="left" w:pos="989"/>
        </w:tabs>
        <w:rPr>
          <w:rFonts w:asciiTheme="minorHAnsi" w:hAnsiTheme="minorHAnsi" w:cstheme="minorHAnsi"/>
          <w:sz w:val="20"/>
          <w:szCs w:val="20"/>
        </w:rPr>
      </w:pPr>
    </w:p>
    <w:p w14:paraId="4A0B4431" w14:textId="0B3E7210" w:rsidR="006D2D0D" w:rsidRPr="00DB2968" w:rsidRDefault="006D2D0D" w:rsidP="006D2D0D">
      <w:pPr>
        <w:widowControl/>
        <w:autoSpaceDE/>
        <w:autoSpaceDN/>
        <w:ind w:firstLineChars="100" w:firstLine="201"/>
        <w:rPr>
          <w:rFonts w:asciiTheme="minorHAnsi" w:eastAsia="Times New Roman" w:hAnsiTheme="minorHAnsi" w:cstheme="minorHAnsi"/>
          <w:b/>
          <w:bCs/>
          <w:color w:val="000000"/>
          <w:sz w:val="20"/>
          <w:szCs w:val="20"/>
          <w:lang w:bidi="ar-SA"/>
        </w:rPr>
        <w:sectPr w:rsidR="006D2D0D" w:rsidRPr="00DB2968" w:rsidSect="0089653F">
          <w:headerReference w:type="default" r:id="rId13"/>
          <w:footerReference w:type="default" r:id="rId14"/>
          <w:pgSz w:w="11910" w:h="16840"/>
          <w:pgMar w:top="1440" w:right="1080" w:bottom="1440" w:left="1080" w:header="0" w:footer="540" w:gutter="0"/>
          <w:cols w:space="720"/>
          <w:docGrid w:linePitch="299"/>
        </w:sectPr>
      </w:pPr>
    </w:p>
    <w:tbl>
      <w:tblPr>
        <w:tblW w:w="0" w:type="auto"/>
        <w:tblLook w:val="04A0" w:firstRow="1" w:lastRow="0" w:firstColumn="1" w:lastColumn="0" w:noHBand="0" w:noVBand="1"/>
      </w:tblPr>
      <w:tblGrid>
        <w:gridCol w:w="3117"/>
        <w:gridCol w:w="1665"/>
        <w:gridCol w:w="1478"/>
        <w:gridCol w:w="1224"/>
        <w:gridCol w:w="1673"/>
        <w:gridCol w:w="1776"/>
        <w:gridCol w:w="1727"/>
        <w:gridCol w:w="1300"/>
      </w:tblGrid>
      <w:tr w:rsidR="00937254" w:rsidRPr="00937254" w14:paraId="7DE04A7C" w14:textId="77777777" w:rsidTr="00937254">
        <w:trPr>
          <w:trHeight w:val="300"/>
        </w:trPr>
        <w:tc>
          <w:tcPr>
            <w:tcW w:w="0" w:type="auto"/>
            <w:gridSpan w:val="3"/>
            <w:tcBorders>
              <w:top w:val="nil"/>
              <w:left w:val="nil"/>
              <w:bottom w:val="nil"/>
              <w:right w:val="nil"/>
            </w:tcBorders>
            <w:shd w:val="clear" w:color="auto" w:fill="auto"/>
            <w:noWrap/>
            <w:vAlign w:val="center"/>
            <w:hideMark/>
          </w:tcPr>
          <w:p w14:paraId="45ABC894"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lastRenderedPageBreak/>
              <w:t>CONSOLIDATED STATEMENT OF CHANGES IN EQUITY</w:t>
            </w:r>
          </w:p>
        </w:tc>
        <w:tc>
          <w:tcPr>
            <w:tcW w:w="0" w:type="auto"/>
            <w:tcBorders>
              <w:top w:val="nil"/>
              <w:left w:val="nil"/>
              <w:bottom w:val="nil"/>
              <w:right w:val="nil"/>
            </w:tcBorders>
            <w:shd w:val="clear" w:color="auto" w:fill="auto"/>
            <w:noWrap/>
            <w:vAlign w:val="bottom"/>
            <w:hideMark/>
          </w:tcPr>
          <w:p w14:paraId="6A3AA543"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66E2F0D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B3DC7A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C2185A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D10F05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7AF018B" w14:textId="77777777" w:rsidTr="00937254">
        <w:trPr>
          <w:trHeight w:val="300"/>
        </w:trPr>
        <w:tc>
          <w:tcPr>
            <w:tcW w:w="0" w:type="auto"/>
            <w:gridSpan w:val="2"/>
            <w:tcBorders>
              <w:top w:val="nil"/>
              <w:left w:val="nil"/>
              <w:bottom w:val="nil"/>
              <w:right w:val="nil"/>
            </w:tcBorders>
            <w:shd w:val="clear" w:color="auto" w:fill="auto"/>
            <w:noWrap/>
            <w:vAlign w:val="center"/>
            <w:hideMark/>
          </w:tcPr>
          <w:p w14:paraId="209668F1"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For the twelve months ended 31 July 2021</w:t>
            </w:r>
          </w:p>
        </w:tc>
        <w:tc>
          <w:tcPr>
            <w:tcW w:w="0" w:type="auto"/>
            <w:tcBorders>
              <w:top w:val="nil"/>
              <w:left w:val="nil"/>
              <w:bottom w:val="nil"/>
              <w:right w:val="nil"/>
            </w:tcBorders>
            <w:shd w:val="clear" w:color="auto" w:fill="auto"/>
            <w:noWrap/>
            <w:vAlign w:val="bottom"/>
            <w:hideMark/>
          </w:tcPr>
          <w:p w14:paraId="45449CA0" w14:textId="77777777" w:rsidR="00937254" w:rsidRPr="00937254" w:rsidRDefault="00937254" w:rsidP="00937254">
            <w:pPr>
              <w:widowControl/>
              <w:autoSpaceDE/>
              <w:autoSpaceDN/>
              <w:ind w:firstLineChars="100" w:firstLine="201"/>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4396D0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A17B91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B25BA8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1724FF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973B9E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6FE13D62" w14:textId="77777777" w:rsidTr="00937254">
        <w:trPr>
          <w:trHeight w:val="300"/>
        </w:trPr>
        <w:tc>
          <w:tcPr>
            <w:tcW w:w="0" w:type="auto"/>
            <w:vMerge w:val="restart"/>
            <w:tcBorders>
              <w:top w:val="nil"/>
              <w:left w:val="nil"/>
              <w:bottom w:val="nil"/>
              <w:right w:val="nil"/>
            </w:tcBorders>
            <w:shd w:val="clear" w:color="auto" w:fill="auto"/>
            <w:vAlign w:val="center"/>
            <w:hideMark/>
          </w:tcPr>
          <w:p w14:paraId="6FDB27A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58D430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7514C1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4E010E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02F62B6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8EB6642" w14:textId="77777777" w:rsidR="00937254" w:rsidRPr="00937254" w:rsidRDefault="00937254" w:rsidP="00937254">
            <w:pPr>
              <w:widowControl/>
              <w:autoSpaceDE/>
              <w:autoSpaceDN/>
              <w:ind w:firstLineChars="100" w:firstLine="200"/>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9BEBE0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58D116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2A3A02BB" w14:textId="77777777" w:rsidTr="00937254">
        <w:trPr>
          <w:trHeight w:val="675"/>
        </w:trPr>
        <w:tc>
          <w:tcPr>
            <w:tcW w:w="0" w:type="auto"/>
            <w:vMerge/>
            <w:tcBorders>
              <w:top w:val="nil"/>
              <w:left w:val="nil"/>
              <w:bottom w:val="nil"/>
              <w:right w:val="nil"/>
            </w:tcBorders>
            <w:vAlign w:val="center"/>
            <w:hideMark/>
          </w:tcPr>
          <w:p w14:paraId="2EFCD5C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4A32DC2" w14:textId="77777777" w:rsidR="00937254" w:rsidRPr="00937254" w:rsidRDefault="00937254" w:rsidP="00937254">
            <w:pPr>
              <w:widowControl/>
              <w:autoSpaceDE/>
              <w:autoSpaceDN/>
              <w:ind w:firstLineChars="300" w:firstLine="482"/>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Share capital</w:t>
            </w:r>
          </w:p>
        </w:tc>
        <w:tc>
          <w:tcPr>
            <w:tcW w:w="0" w:type="auto"/>
            <w:tcBorders>
              <w:top w:val="nil"/>
              <w:left w:val="nil"/>
              <w:bottom w:val="nil"/>
              <w:right w:val="nil"/>
            </w:tcBorders>
            <w:shd w:val="clear" w:color="auto" w:fill="auto"/>
            <w:vAlign w:val="center"/>
            <w:hideMark/>
          </w:tcPr>
          <w:p w14:paraId="731F30DB" w14:textId="77777777" w:rsidR="00937254" w:rsidRPr="00937254" w:rsidRDefault="00937254" w:rsidP="00937254">
            <w:pPr>
              <w:widowControl/>
              <w:autoSpaceDE/>
              <w:autoSpaceDN/>
              <w:ind w:firstLineChars="100" w:firstLine="16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Share premium</w:t>
            </w:r>
          </w:p>
        </w:tc>
        <w:tc>
          <w:tcPr>
            <w:tcW w:w="0" w:type="auto"/>
            <w:tcBorders>
              <w:top w:val="nil"/>
              <w:left w:val="nil"/>
              <w:bottom w:val="nil"/>
              <w:right w:val="nil"/>
            </w:tcBorders>
            <w:shd w:val="clear" w:color="auto" w:fill="auto"/>
            <w:vAlign w:val="center"/>
            <w:hideMark/>
          </w:tcPr>
          <w:p w14:paraId="0EA24968" w14:textId="77777777" w:rsidR="00937254" w:rsidRPr="00937254" w:rsidRDefault="00937254" w:rsidP="00937254">
            <w:pPr>
              <w:widowControl/>
              <w:autoSpaceDE/>
              <w:autoSpaceDN/>
              <w:ind w:firstLineChars="100" w:firstLine="16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Merger reserve</w:t>
            </w:r>
          </w:p>
        </w:tc>
        <w:tc>
          <w:tcPr>
            <w:tcW w:w="0" w:type="auto"/>
            <w:tcBorders>
              <w:top w:val="nil"/>
              <w:left w:val="nil"/>
              <w:bottom w:val="nil"/>
              <w:right w:val="nil"/>
            </w:tcBorders>
            <w:shd w:val="clear" w:color="auto" w:fill="auto"/>
            <w:vAlign w:val="center"/>
            <w:hideMark/>
          </w:tcPr>
          <w:p w14:paraId="02E6DA66"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Share based payment reserve</w:t>
            </w:r>
          </w:p>
        </w:tc>
        <w:tc>
          <w:tcPr>
            <w:tcW w:w="0" w:type="auto"/>
            <w:tcBorders>
              <w:top w:val="nil"/>
              <w:left w:val="nil"/>
              <w:bottom w:val="nil"/>
              <w:right w:val="nil"/>
            </w:tcBorders>
            <w:shd w:val="clear" w:color="auto" w:fill="auto"/>
            <w:vAlign w:val="center"/>
            <w:hideMark/>
          </w:tcPr>
          <w:p w14:paraId="6D5536B2" w14:textId="77777777" w:rsidR="00937254" w:rsidRPr="00937254" w:rsidRDefault="00937254" w:rsidP="00937254">
            <w:pPr>
              <w:widowControl/>
              <w:autoSpaceDE/>
              <w:autoSpaceDN/>
              <w:ind w:firstLineChars="200" w:firstLine="32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Revaluation Reserve</w:t>
            </w:r>
          </w:p>
        </w:tc>
        <w:tc>
          <w:tcPr>
            <w:tcW w:w="0" w:type="auto"/>
            <w:tcBorders>
              <w:top w:val="nil"/>
              <w:left w:val="nil"/>
              <w:bottom w:val="nil"/>
              <w:right w:val="nil"/>
            </w:tcBorders>
            <w:shd w:val="clear" w:color="auto" w:fill="auto"/>
            <w:vAlign w:val="center"/>
            <w:hideMark/>
          </w:tcPr>
          <w:p w14:paraId="79203AFB" w14:textId="77777777" w:rsidR="00937254" w:rsidRPr="00937254" w:rsidRDefault="00937254" w:rsidP="00937254">
            <w:pPr>
              <w:widowControl/>
              <w:autoSpaceDE/>
              <w:autoSpaceDN/>
              <w:ind w:firstLineChars="300" w:firstLine="482"/>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Retained earnings</w:t>
            </w:r>
          </w:p>
        </w:tc>
        <w:tc>
          <w:tcPr>
            <w:tcW w:w="0" w:type="auto"/>
            <w:tcBorders>
              <w:top w:val="nil"/>
              <w:left w:val="nil"/>
              <w:bottom w:val="nil"/>
              <w:right w:val="nil"/>
            </w:tcBorders>
            <w:shd w:val="clear" w:color="auto" w:fill="auto"/>
            <w:vAlign w:val="center"/>
            <w:hideMark/>
          </w:tcPr>
          <w:p w14:paraId="6483AABD"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Total equity</w:t>
            </w:r>
          </w:p>
        </w:tc>
      </w:tr>
      <w:tr w:rsidR="00937254" w:rsidRPr="00937254" w14:paraId="07CA71EA" w14:textId="77777777" w:rsidTr="00937254">
        <w:trPr>
          <w:trHeight w:val="300"/>
        </w:trPr>
        <w:tc>
          <w:tcPr>
            <w:tcW w:w="0" w:type="auto"/>
            <w:vMerge/>
            <w:tcBorders>
              <w:top w:val="nil"/>
              <w:left w:val="nil"/>
              <w:bottom w:val="nil"/>
              <w:right w:val="nil"/>
            </w:tcBorders>
            <w:vAlign w:val="center"/>
            <w:hideMark/>
          </w:tcPr>
          <w:p w14:paraId="0E87934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0228FDDB"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p>
        </w:tc>
        <w:tc>
          <w:tcPr>
            <w:tcW w:w="0" w:type="auto"/>
            <w:tcBorders>
              <w:top w:val="nil"/>
              <w:left w:val="nil"/>
              <w:bottom w:val="nil"/>
              <w:right w:val="nil"/>
            </w:tcBorders>
            <w:shd w:val="clear" w:color="auto" w:fill="auto"/>
            <w:hideMark/>
          </w:tcPr>
          <w:p w14:paraId="799F7AD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7638AAD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76FE693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191874D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hideMark/>
          </w:tcPr>
          <w:p w14:paraId="5A467B8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CFD985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9CA2B07" w14:textId="77777777" w:rsidTr="00937254">
        <w:trPr>
          <w:trHeight w:val="300"/>
        </w:trPr>
        <w:tc>
          <w:tcPr>
            <w:tcW w:w="0" w:type="auto"/>
            <w:tcBorders>
              <w:top w:val="nil"/>
              <w:left w:val="nil"/>
              <w:bottom w:val="nil"/>
              <w:right w:val="nil"/>
            </w:tcBorders>
            <w:shd w:val="clear" w:color="auto" w:fill="auto"/>
            <w:vAlign w:val="center"/>
            <w:hideMark/>
          </w:tcPr>
          <w:p w14:paraId="7C80E0D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73E9934"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37885EE5"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05AD4C8A"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645DF956"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043342B8"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3D934497"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c>
          <w:tcPr>
            <w:tcW w:w="0" w:type="auto"/>
            <w:tcBorders>
              <w:top w:val="nil"/>
              <w:left w:val="nil"/>
              <w:bottom w:val="nil"/>
              <w:right w:val="nil"/>
            </w:tcBorders>
            <w:shd w:val="clear" w:color="auto" w:fill="auto"/>
            <w:vAlign w:val="center"/>
            <w:hideMark/>
          </w:tcPr>
          <w:p w14:paraId="55BB3417"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w:t>
            </w:r>
          </w:p>
        </w:tc>
      </w:tr>
      <w:tr w:rsidR="00937254" w:rsidRPr="00937254" w14:paraId="70410BBB" w14:textId="77777777" w:rsidTr="00937254">
        <w:trPr>
          <w:trHeight w:val="300"/>
        </w:trPr>
        <w:tc>
          <w:tcPr>
            <w:tcW w:w="0" w:type="auto"/>
            <w:tcBorders>
              <w:top w:val="nil"/>
              <w:left w:val="nil"/>
              <w:bottom w:val="nil"/>
              <w:right w:val="nil"/>
            </w:tcBorders>
            <w:shd w:val="clear" w:color="auto" w:fill="auto"/>
            <w:vAlign w:val="center"/>
            <w:hideMark/>
          </w:tcPr>
          <w:p w14:paraId="2BE168C3" w14:textId="77777777" w:rsidR="00937254" w:rsidRPr="00937254" w:rsidRDefault="00937254" w:rsidP="00937254">
            <w:pPr>
              <w:widowControl/>
              <w:autoSpaceDE/>
              <w:autoSpaceDN/>
              <w:ind w:firstLineChars="100" w:firstLine="16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Balance at 31 July 2019</w:t>
            </w:r>
          </w:p>
        </w:tc>
        <w:tc>
          <w:tcPr>
            <w:tcW w:w="0" w:type="auto"/>
            <w:tcBorders>
              <w:top w:val="nil"/>
              <w:left w:val="nil"/>
              <w:bottom w:val="nil"/>
              <w:right w:val="nil"/>
            </w:tcBorders>
            <w:shd w:val="clear" w:color="auto" w:fill="auto"/>
            <w:vAlign w:val="center"/>
            <w:hideMark/>
          </w:tcPr>
          <w:p w14:paraId="017CC3A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10,949,504 </w:t>
            </w:r>
          </w:p>
        </w:tc>
        <w:tc>
          <w:tcPr>
            <w:tcW w:w="0" w:type="auto"/>
            <w:tcBorders>
              <w:top w:val="nil"/>
              <w:left w:val="nil"/>
              <w:bottom w:val="nil"/>
              <w:right w:val="nil"/>
            </w:tcBorders>
            <w:shd w:val="clear" w:color="auto" w:fill="auto"/>
            <w:vAlign w:val="center"/>
            <w:hideMark/>
          </w:tcPr>
          <w:p w14:paraId="2A6B9E9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18,427,728 </w:t>
            </w:r>
          </w:p>
        </w:tc>
        <w:tc>
          <w:tcPr>
            <w:tcW w:w="0" w:type="auto"/>
            <w:tcBorders>
              <w:top w:val="nil"/>
              <w:left w:val="nil"/>
              <w:bottom w:val="nil"/>
              <w:right w:val="nil"/>
            </w:tcBorders>
            <w:shd w:val="clear" w:color="auto" w:fill="auto"/>
            <w:vAlign w:val="center"/>
            <w:hideMark/>
          </w:tcPr>
          <w:p w14:paraId="7DAFB90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8,988,112 </w:t>
            </w:r>
          </w:p>
        </w:tc>
        <w:tc>
          <w:tcPr>
            <w:tcW w:w="0" w:type="auto"/>
            <w:tcBorders>
              <w:top w:val="nil"/>
              <w:left w:val="nil"/>
              <w:bottom w:val="nil"/>
              <w:right w:val="nil"/>
            </w:tcBorders>
            <w:shd w:val="clear" w:color="auto" w:fill="auto"/>
            <w:vAlign w:val="center"/>
            <w:hideMark/>
          </w:tcPr>
          <w:p w14:paraId="595B4E4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113,220 </w:t>
            </w:r>
          </w:p>
        </w:tc>
        <w:tc>
          <w:tcPr>
            <w:tcW w:w="0" w:type="auto"/>
            <w:tcBorders>
              <w:top w:val="nil"/>
              <w:left w:val="nil"/>
              <w:bottom w:val="nil"/>
              <w:right w:val="nil"/>
            </w:tcBorders>
            <w:shd w:val="clear" w:color="auto" w:fill="auto"/>
            <w:vAlign w:val="center"/>
            <w:hideMark/>
          </w:tcPr>
          <w:p w14:paraId="1ED5CEBC"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0B68C1D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(29,455,253)</w:t>
            </w:r>
          </w:p>
        </w:tc>
        <w:tc>
          <w:tcPr>
            <w:tcW w:w="0" w:type="auto"/>
            <w:tcBorders>
              <w:top w:val="nil"/>
              <w:left w:val="nil"/>
              <w:bottom w:val="nil"/>
              <w:right w:val="nil"/>
            </w:tcBorders>
            <w:shd w:val="clear" w:color="auto" w:fill="auto"/>
            <w:vAlign w:val="center"/>
            <w:hideMark/>
          </w:tcPr>
          <w:p w14:paraId="4CE109C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9,023,311 </w:t>
            </w:r>
          </w:p>
        </w:tc>
      </w:tr>
      <w:tr w:rsidR="00937254" w:rsidRPr="00937254" w14:paraId="4EB46636" w14:textId="77777777" w:rsidTr="00937254">
        <w:trPr>
          <w:trHeight w:val="300"/>
        </w:trPr>
        <w:tc>
          <w:tcPr>
            <w:tcW w:w="0" w:type="auto"/>
            <w:tcBorders>
              <w:top w:val="nil"/>
              <w:left w:val="nil"/>
              <w:bottom w:val="nil"/>
              <w:right w:val="nil"/>
            </w:tcBorders>
            <w:shd w:val="clear" w:color="auto" w:fill="auto"/>
            <w:vAlign w:val="center"/>
            <w:hideMark/>
          </w:tcPr>
          <w:p w14:paraId="0A6BE91E"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Loss for the period</w:t>
            </w:r>
          </w:p>
        </w:tc>
        <w:tc>
          <w:tcPr>
            <w:tcW w:w="0" w:type="auto"/>
            <w:tcBorders>
              <w:top w:val="nil"/>
              <w:left w:val="nil"/>
              <w:bottom w:val="nil"/>
              <w:right w:val="nil"/>
            </w:tcBorders>
            <w:shd w:val="clear" w:color="auto" w:fill="auto"/>
            <w:vAlign w:val="center"/>
            <w:hideMark/>
          </w:tcPr>
          <w:p w14:paraId="68DAD1D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2DB0991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AEEEB5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AC7417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92782EA"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BD6419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(10,409,873)</w:t>
            </w:r>
          </w:p>
        </w:tc>
        <w:tc>
          <w:tcPr>
            <w:tcW w:w="0" w:type="auto"/>
            <w:tcBorders>
              <w:top w:val="nil"/>
              <w:left w:val="nil"/>
              <w:bottom w:val="nil"/>
              <w:right w:val="nil"/>
            </w:tcBorders>
            <w:shd w:val="clear" w:color="auto" w:fill="auto"/>
            <w:vAlign w:val="center"/>
            <w:hideMark/>
          </w:tcPr>
          <w:p w14:paraId="65A038E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(10,409,873)</w:t>
            </w:r>
          </w:p>
        </w:tc>
      </w:tr>
      <w:tr w:rsidR="00937254" w:rsidRPr="00937254" w14:paraId="0F3C912F" w14:textId="77777777" w:rsidTr="00937254">
        <w:trPr>
          <w:trHeight w:val="315"/>
        </w:trPr>
        <w:tc>
          <w:tcPr>
            <w:tcW w:w="0" w:type="auto"/>
            <w:tcBorders>
              <w:top w:val="nil"/>
              <w:left w:val="nil"/>
              <w:bottom w:val="nil"/>
              <w:right w:val="nil"/>
            </w:tcBorders>
            <w:shd w:val="clear" w:color="auto" w:fill="auto"/>
            <w:vAlign w:val="center"/>
            <w:hideMark/>
          </w:tcPr>
          <w:p w14:paraId="79C21375"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Other comprehensive income for the period</w:t>
            </w:r>
          </w:p>
        </w:tc>
        <w:tc>
          <w:tcPr>
            <w:tcW w:w="0" w:type="auto"/>
            <w:tcBorders>
              <w:top w:val="nil"/>
              <w:left w:val="nil"/>
              <w:bottom w:val="single" w:sz="8" w:space="0" w:color="000000"/>
              <w:right w:val="nil"/>
            </w:tcBorders>
            <w:shd w:val="clear" w:color="auto" w:fill="auto"/>
            <w:vAlign w:val="center"/>
            <w:hideMark/>
          </w:tcPr>
          <w:p w14:paraId="25717AA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single" w:sz="8" w:space="0" w:color="000000"/>
              <w:right w:val="nil"/>
            </w:tcBorders>
            <w:shd w:val="clear" w:color="auto" w:fill="auto"/>
            <w:vAlign w:val="center"/>
            <w:hideMark/>
          </w:tcPr>
          <w:p w14:paraId="0D7AF19F"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single" w:sz="8" w:space="0" w:color="000000"/>
              <w:right w:val="nil"/>
            </w:tcBorders>
            <w:shd w:val="clear" w:color="auto" w:fill="auto"/>
            <w:vAlign w:val="center"/>
            <w:hideMark/>
          </w:tcPr>
          <w:p w14:paraId="409426E5"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single" w:sz="8" w:space="0" w:color="000000"/>
              <w:right w:val="nil"/>
            </w:tcBorders>
            <w:shd w:val="clear" w:color="auto" w:fill="auto"/>
            <w:vAlign w:val="center"/>
            <w:hideMark/>
          </w:tcPr>
          <w:p w14:paraId="0EA4F9A2"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single" w:sz="8" w:space="0" w:color="000000"/>
              <w:right w:val="nil"/>
            </w:tcBorders>
            <w:shd w:val="clear" w:color="auto" w:fill="auto"/>
            <w:vAlign w:val="center"/>
            <w:hideMark/>
          </w:tcPr>
          <w:p w14:paraId="6A09788B"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6,074,895 </w:t>
            </w:r>
          </w:p>
        </w:tc>
        <w:tc>
          <w:tcPr>
            <w:tcW w:w="0" w:type="auto"/>
            <w:tcBorders>
              <w:top w:val="nil"/>
              <w:left w:val="nil"/>
              <w:bottom w:val="single" w:sz="8" w:space="0" w:color="000000"/>
              <w:right w:val="nil"/>
            </w:tcBorders>
            <w:shd w:val="clear" w:color="auto" w:fill="auto"/>
            <w:vAlign w:val="center"/>
            <w:hideMark/>
          </w:tcPr>
          <w:p w14:paraId="08624B4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single" w:sz="8" w:space="0" w:color="000000"/>
              <w:right w:val="nil"/>
            </w:tcBorders>
            <w:shd w:val="clear" w:color="auto" w:fill="auto"/>
            <w:vAlign w:val="center"/>
            <w:hideMark/>
          </w:tcPr>
          <w:p w14:paraId="3DEEDA6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6,074,895 </w:t>
            </w:r>
          </w:p>
        </w:tc>
      </w:tr>
      <w:tr w:rsidR="00937254" w:rsidRPr="00937254" w14:paraId="796D76B8" w14:textId="77777777" w:rsidTr="00937254">
        <w:trPr>
          <w:trHeight w:val="300"/>
        </w:trPr>
        <w:tc>
          <w:tcPr>
            <w:tcW w:w="0" w:type="auto"/>
            <w:tcBorders>
              <w:top w:val="nil"/>
              <w:left w:val="nil"/>
              <w:bottom w:val="nil"/>
              <w:right w:val="nil"/>
            </w:tcBorders>
            <w:shd w:val="clear" w:color="auto" w:fill="auto"/>
            <w:vAlign w:val="center"/>
            <w:hideMark/>
          </w:tcPr>
          <w:p w14:paraId="219A78A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p>
        </w:tc>
        <w:tc>
          <w:tcPr>
            <w:tcW w:w="0" w:type="auto"/>
            <w:tcBorders>
              <w:top w:val="nil"/>
              <w:left w:val="nil"/>
              <w:bottom w:val="nil"/>
              <w:right w:val="nil"/>
            </w:tcBorders>
            <w:shd w:val="clear" w:color="auto" w:fill="auto"/>
            <w:vAlign w:val="center"/>
            <w:hideMark/>
          </w:tcPr>
          <w:p w14:paraId="3E13DB4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ACF7A7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49950D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8BF116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50ACF2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ABA740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E02B88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5C87CB8" w14:textId="77777777" w:rsidTr="00937254">
        <w:trPr>
          <w:trHeight w:val="300"/>
        </w:trPr>
        <w:tc>
          <w:tcPr>
            <w:tcW w:w="0" w:type="auto"/>
            <w:tcBorders>
              <w:top w:val="nil"/>
              <w:left w:val="nil"/>
              <w:bottom w:val="nil"/>
              <w:right w:val="nil"/>
            </w:tcBorders>
            <w:shd w:val="clear" w:color="auto" w:fill="auto"/>
            <w:vAlign w:val="center"/>
            <w:hideMark/>
          </w:tcPr>
          <w:p w14:paraId="777057DE"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Total comprehensive loss for the period</w:t>
            </w:r>
          </w:p>
        </w:tc>
        <w:tc>
          <w:tcPr>
            <w:tcW w:w="0" w:type="auto"/>
            <w:tcBorders>
              <w:top w:val="nil"/>
              <w:left w:val="nil"/>
              <w:bottom w:val="nil"/>
              <w:right w:val="nil"/>
            </w:tcBorders>
            <w:shd w:val="clear" w:color="auto" w:fill="auto"/>
            <w:vAlign w:val="center"/>
            <w:hideMark/>
          </w:tcPr>
          <w:p w14:paraId="2BE7D69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81F0FF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AB4D67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6947BC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95C83DC"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6,074,895 </w:t>
            </w:r>
          </w:p>
        </w:tc>
        <w:tc>
          <w:tcPr>
            <w:tcW w:w="0" w:type="auto"/>
            <w:tcBorders>
              <w:top w:val="nil"/>
              <w:left w:val="nil"/>
              <w:bottom w:val="nil"/>
              <w:right w:val="nil"/>
            </w:tcBorders>
            <w:shd w:val="clear" w:color="auto" w:fill="auto"/>
            <w:vAlign w:val="center"/>
            <w:hideMark/>
          </w:tcPr>
          <w:p w14:paraId="1D3B8C9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(10,409,873)</w:t>
            </w:r>
          </w:p>
        </w:tc>
        <w:tc>
          <w:tcPr>
            <w:tcW w:w="0" w:type="auto"/>
            <w:tcBorders>
              <w:top w:val="nil"/>
              <w:left w:val="nil"/>
              <w:bottom w:val="nil"/>
              <w:right w:val="nil"/>
            </w:tcBorders>
            <w:shd w:val="clear" w:color="auto" w:fill="auto"/>
            <w:vAlign w:val="center"/>
            <w:hideMark/>
          </w:tcPr>
          <w:p w14:paraId="108CD4B2"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(4,334,978)</w:t>
            </w:r>
          </w:p>
        </w:tc>
      </w:tr>
      <w:tr w:rsidR="00937254" w:rsidRPr="00937254" w14:paraId="58FD6649" w14:textId="77777777" w:rsidTr="00937254">
        <w:trPr>
          <w:trHeight w:val="300"/>
        </w:trPr>
        <w:tc>
          <w:tcPr>
            <w:tcW w:w="0" w:type="auto"/>
            <w:tcBorders>
              <w:top w:val="nil"/>
              <w:left w:val="nil"/>
              <w:bottom w:val="nil"/>
              <w:right w:val="nil"/>
            </w:tcBorders>
            <w:shd w:val="clear" w:color="auto" w:fill="auto"/>
            <w:vAlign w:val="center"/>
            <w:hideMark/>
          </w:tcPr>
          <w:p w14:paraId="77656054"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Shares issued</w:t>
            </w:r>
          </w:p>
        </w:tc>
        <w:tc>
          <w:tcPr>
            <w:tcW w:w="0" w:type="auto"/>
            <w:tcBorders>
              <w:top w:val="nil"/>
              <w:left w:val="nil"/>
              <w:bottom w:val="nil"/>
              <w:right w:val="nil"/>
            </w:tcBorders>
            <w:shd w:val="clear" w:color="auto" w:fill="auto"/>
            <w:vAlign w:val="center"/>
            <w:hideMark/>
          </w:tcPr>
          <w:p w14:paraId="072D6D4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507,953 </w:t>
            </w:r>
          </w:p>
        </w:tc>
        <w:tc>
          <w:tcPr>
            <w:tcW w:w="0" w:type="auto"/>
            <w:tcBorders>
              <w:top w:val="nil"/>
              <w:left w:val="nil"/>
              <w:bottom w:val="nil"/>
              <w:right w:val="nil"/>
            </w:tcBorders>
            <w:shd w:val="clear" w:color="auto" w:fill="auto"/>
            <w:vAlign w:val="center"/>
            <w:hideMark/>
          </w:tcPr>
          <w:p w14:paraId="74C612E2"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14,995,444 </w:t>
            </w:r>
          </w:p>
        </w:tc>
        <w:tc>
          <w:tcPr>
            <w:tcW w:w="0" w:type="auto"/>
            <w:tcBorders>
              <w:top w:val="nil"/>
              <w:left w:val="nil"/>
              <w:bottom w:val="nil"/>
              <w:right w:val="nil"/>
            </w:tcBorders>
            <w:shd w:val="clear" w:color="auto" w:fill="auto"/>
            <w:vAlign w:val="center"/>
            <w:hideMark/>
          </w:tcPr>
          <w:p w14:paraId="6DCF5CF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472F3D8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A5892B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300C66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FC739B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15,503,397 </w:t>
            </w:r>
          </w:p>
        </w:tc>
      </w:tr>
      <w:tr w:rsidR="00937254" w:rsidRPr="00937254" w14:paraId="60A50E1F" w14:textId="77777777" w:rsidTr="00937254">
        <w:trPr>
          <w:trHeight w:val="300"/>
        </w:trPr>
        <w:tc>
          <w:tcPr>
            <w:tcW w:w="0" w:type="auto"/>
            <w:tcBorders>
              <w:top w:val="nil"/>
              <w:left w:val="nil"/>
              <w:bottom w:val="nil"/>
              <w:right w:val="nil"/>
            </w:tcBorders>
            <w:shd w:val="clear" w:color="auto" w:fill="auto"/>
            <w:vAlign w:val="center"/>
            <w:hideMark/>
          </w:tcPr>
          <w:p w14:paraId="0C49EBB2"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Share Option expense</w:t>
            </w:r>
          </w:p>
        </w:tc>
        <w:tc>
          <w:tcPr>
            <w:tcW w:w="0" w:type="auto"/>
            <w:tcBorders>
              <w:top w:val="nil"/>
              <w:left w:val="nil"/>
              <w:bottom w:val="nil"/>
              <w:right w:val="nil"/>
            </w:tcBorders>
            <w:shd w:val="clear" w:color="auto" w:fill="auto"/>
            <w:vAlign w:val="center"/>
            <w:hideMark/>
          </w:tcPr>
          <w:p w14:paraId="0AE3B1BB"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C2610E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B6329B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6440302"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12,453 </w:t>
            </w:r>
          </w:p>
        </w:tc>
        <w:tc>
          <w:tcPr>
            <w:tcW w:w="0" w:type="auto"/>
            <w:tcBorders>
              <w:top w:val="nil"/>
              <w:left w:val="nil"/>
              <w:bottom w:val="nil"/>
              <w:right w:val="nil"/>
            </w:tcBorders>
            <w:shd w:val="clear" w:color="auto" w:fill="auto"/>
            <w:vAlign w:val="center"/>
            <w:hideMark/>
          </w:tcPr>
          <w:p w14:paraId="5A34400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21899115"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58F971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12,453 </w:t>
            </w:r>
          </w:p>
        </w:tc>
      </w:tr>
      <w:tr w:rsidR="00937254" w:rsidRPr="00937254" w14:paraId="4062990C" w14:textId="77777777" w:rsidTr="00937254">
        <w:trPr>
          <w:trHeight w:val="300"/>
        </w:trPr>
        <w:tc>
          <w:tcPr>
            <w:tcW w:w="0" w:type="auto"/>
            <w:tcBorders>
              <w:top w:val="nil"/>
              <w:left w:val="nil"/>
              <w:bottom w:val="nil"/>
              <w:right w:val="nil"/>
            </w:tcBorders>
            <w:shd w:val="clear" w:color="auto" w:fill="auto"/>
            <w:vAlign w:val="center"/>
            <w:hideMark/>
          </w:tcPr>
          <w:p w14:paraId="371BAC41"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Capital Contribution</w:t>
            </w:r>
          </w:p>
        </w:tc>
        <w:tc>
          <w:tcPr>
            <w:tcW w:w="0" w:type="auto"/>
            <w:tcBorders>
              <w:top w:val="nil"/>
              <w:left w:val="nil"/>
              <w:bottom w:val="nil"/>
              <w:right w:val="nil"/>
            </w:tcBorders>
            <w:shd w:val="clear" w:color="auto" w:fill="auto"/>
            <w:vAlign w:val="center"/>
            <w:hideMark/>
          </w:tcPr>
          <w:p w14:paraId="3BAC102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2F4A08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500,000 </w:t>
            </w:r>
          </w:p>
        </w:tc>
        <w:tc>
          <w:tcPr>
            <w:tcW w:w="0" w:type="auto"/>
            <w:tcBorders>
              <w:top w:val="nil"/>
              <w:left w:val="nil"/>
              <w:bottom w:val="nil"/>
              <w:right w:val="nil"/>
            </w:tcBorders>
            <w:shd w:val="clear" w:color="auto" w:fill="auto"/>
            <w:vAlign w:val="center"/>
            <w:hideMark/>
          </w:tcPr>
          <w:p w14:paraId="0DBE43C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73A73F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87ED82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537A78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32227E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500,000 </w:t>
            </w:r>
          </w:p>
        </w:tc>
      </w:tr>
      <w:tr w:rsidR="00937254" w:rsidRPr="00937254" w14:paraId="54006B04" w14:textId="77777777" w:rsidTr="00937254">
        <w:trPr>
          <w:trHeight w:val="315"/>
        </w:trPr>
        <w:tc>
          <w:tcPr>
            <w:tcW w:w="0" w:type="auto"/>
            <w:tcBorders>
              <w:top w:val="nil"/>
              <w:left w:val="nil"/>
              <w:bottom w:val="nil"/>
              <w:right w:val="nil"/>
            </w:tcBorders>
            <w:shd w:val="clear" w:color="auto" w:fill="auto"/>
            <w:vAlign w:val="center"/>
            <w:hideMark/>
          </w:tcPr>
          <w:p w14:paraId="2196350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p>
        </w:tc>
        <w:tc>
          <w:tcPr>
            <w:tcW w:w="0" w:type="auto"/>
            <w:tcBorders>
              <w:top w:val="nil"/>
              <w:left w:val="nil"/>
              <w:bottom w:val="nil"/>
              <w:right w:val="nil"/>
            </w:tcBorders>
            <w:shd w:val="clear" w:color="auto" w:fill="auto"/>
            <w:vAlign w:val="center"/>
            <w:hideMark/>
          </w:tcPr>
          <w:p w14:paraId="1A7E2FCE" w14:textId="77777777" w:rsidR="00937254" w:rsidRPr="00937254" w:rsidRDefault="00937254" w:rsidP="00937254">
            <w:pPr>
              <w:widowControl/>
              <w:autoSpaceDE/>
              <w:autoSpaceDN/>
              <w:ind w:firstLineChars="100" w:firstLine="200"/>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5FCC3E1"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CF38AF7"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6272C3B"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7D888B5"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9016736"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5E16C31"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016C491E" w14:textId="77777777" w:rsidTr="00937254">
        <w:trPr>
          <w:trHeight w:val="300"/>
        </w:trPr>
        <w:tc>
          <w:tcPr>
            <w:tcW w:w="0" w:type="auto"/>
            <w:tcBorders>
              <w:top w:val="nil"/>
              <w:left w:val="nil"/>
              <w:bottom w:val="nil"/>
              <w:right w:val="nil"/>
            </w:tcBorders>
            <w:shd w:val="clear" w:color="auto" w:fill="auto"/>
            <w:vAlign w:val="center"/>
            <w:hideMark/>
          </w:tcPr>
          <w:p w14:paraId="2F1662C7"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single" w:sz="8" w:space="0" w:color="000000"/>
              <w:left w:val="nil"/>
              <w:bottom w:val="nil"/>
              <w:right w:val="nil"/>
            </w:tcBorders>
            <w:shd w:val="clear" w:color="auto" w:fill="auto"/>
            <w:vAlign w:val="center"/>
            <w:hideMark/>
          </w:tcPr>
          <w:p w14:paraId="08D83C78"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6A9488B4"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5F4D5BAC"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35C2C01C"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0B50B7DC"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32AA238D"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4422ADA4"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r>
      <w:tr w:rsidR="00937254" w:rsidRPr="00937254" w14:paraId="35707ACD" w14:textId="77777777" w:rsidTr="00937254">
        <w:trPr>
          <w:trHeight w:val="315"/>
        </w:trPr>
        <w:tc>
          <w:tcPr>
            <w:tcW w:w="0" w:type="auto"/>
            <w:tcBorders>
              <w:top w:val="nil"/>
              <w:left w:val="nil"/>
              <w:bottom w:val="nil"/>
              <w:right w:val="nil"/>
            </w:tcBorders>
            <w:shd w:val="clear" w:color="auto" w:fill="auto"/>
            <w:vAlign w:val="center"/>
            <w:hideMark/>
          </w:tcPr>
          <w:p w14:paraId="323DC3E3" w14:textId="77777777" w:rsidR="00937254" w:rsidRPr="00937254" w:rsidRDefault="00937254" w:rsidP="00937254">
            <w:pPr>
              <w:widowControl/>
              <w:autoSpaceDE/>
              <w:autoSpaceDN/>
              <w:ind w:firstLineChars="100" w:firstLine="16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Balance at 31 July 2020</w:t>
            </w:r>
          </w:p>
        </w:tc>
        <w:tc>
          <w:tcPr>
            <w:tcW w:w="0" w:type="auto"/>
            <w:tcBorders>
              <w:top w:val="nil"/>
              <w:left w:val="nil"/>
              <w:bottom w:val="double" w:sz="6" w:space="0" w:color="000000"/>
              <w:right w:val="nil"/>
            </w:tcBorders>
            <w:shd w:val="clear" w:color="auto" w:fill="auto"/>
            <w:vAlign w:val="center"/>
            <w:hideMark/>
          </w:tcPr>
          <w:p w14:paraId="0690B9F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11,457,457 </w:t>
            </w:r>
          </w:p>
        </w:tc>
        <w:tc>
          <w:tcPr>
            <w:tcW w:w="0" w:type="auto"/>
            <w:tcBorders>
              <w:top w:val="nil"/>
              <w:left w:val="nil"/>
              <w:bottom w:val="double" w:sz="6" w:space="0" w:color="000000"/>
              <w:right w:val="nil"/>
            </w:tcBorders>
            <w:shd w:val="clear" w:color="auto" w:fill="auto"/>
            <w:vAlign w:val="center"/>
            <w:hideMark/>
          </w:tcPr>
          <w:p w14:paraId="793A867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33,923,172 </w:t>
            </w:r>
          </w:p>
        </w:tc>
        <w:tc>
          <w:tcPr>
            <w:tcW w:w="0" w:type="auto"/>
            <w:tcBorders>
              <w:top w:val="nil"/>
              <w:left w:val="nil"/>
              <w:bottom w:val="double" w:sz="6" w:space="0" w:color="000000"/>
              <w:right w:val="nil"/>
            </w:tcBorders>
            <w:shd w:val="clear" w:color="auto" w:fill="auto"/>
            <w:vAlign w:val="center"/>
            <w:hideMark/>
          </w:tcPr>
          <w:p w14:paraId="55465E7C"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8,988,112 </w:t>
            </w:r>
          </w:p>
        </w:tc>
        <w:tc>
          <w:tcPr>
            <w:tcW w:w="0" w:type="auto"/>
            <w:tcBorders>
              <w:top w:val="nil"/>
              <w:left w:val="nil"/>
              <w:bottom w:val="double" w:sz="6" w:space="0" w:color="000000"/>
              <w:right w:val="nil"/>
            </w:tcBorders>
            <w:shd w:val="clear" w:color="auto" w:fill="auto"/>
            <w:vAlign w:val="center"/>
            <w:hideMark/>
          </w:tcPr>
          <w:p w14:paraId="07A3A10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125,673 </w:t>
            </w:r>
          </w:p>
        </w:tc>
        <w:tc>
          <w:tcPr>
            <w:tcW w:w="0" w:type="auto"/>
            <w:tcBorders>
              <w:top w:val="nil"/>
              <w:left w:val="nil"/>
              <w:bottom w:val="double" w:sz="6" w:space="0" w:color="000000"/>
              <w:right w:val="nil"/>
            </w:tcBorders>
            <w:shd w:val="clear" w:color="auto" w:fill="auto"/>
            <w:vAlign w:val="center"/>
            <w:hideMark/>
          </w:tcPr>
          <w:p w14:paraId="2B65453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6,074,895 </w:t>
            </w:r>
          </w:p>
        </w:tc>
        <w:tc>
          <w:tcPr>
            <w:tcW w:w="0" w:type="auto"/>
            <w:tcBorders>
              <w:top w:val="nil"/>
              <w:left w:val="nil"/>
              <w:bottom w:val="double" w:sz="6" w:space="0" w:color="000000"/>
              <w:right w:val="nil"/>
            </w:tcBorders>
            <w:shd w:val="clear" w:color="auto" w:fill="auto"/>
            <w:vAlign w:val="center"/>
            <w:hideMark/>
          </w:tcPr>
          <w:p w14:paraId="671C0C6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(39,865,126)</w:t>
            </w:r>
          </w:p>
        </w:tc>
        <w:tc>
          <w:tcPr>
            <w:tcW w:w="0" w:type="auto"/>
            <w:tcBorders>
              <w:top w:val="nil"/>
              <w:left w:val="nil"/>
              <w:bottom w:val="double" w:sz="6" w:space="0" w:color="000000"/>
              <w:right w:val="nil"/>
            </w:tcBorders>
            <w:shd w:val="clear" w:color="auto" w:fill="auto"/>
            <w:vAlign w:val="center"/>
            <w:hideMark/>
          </w:tcPr>
          <w:p w14:paraId="3A143CE2"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20,704,183 </w:t>
            </w:r>
          </w:p>
        </w:tc>
      </w:tr>
      <w:tr w:rsidR="00937254" w:rsidRPr="00937254" w14:paraId="5E268D92" w14:textId="77777777" w:rsidTr="00937254">
        <w:trPr>
          <w:trHeight w:val="315"/>
        </w:trPr>
        <w:tc>
          <w:tcPr>
            <w:tcW w:w="0" w:type="auto"/>
            <w:tcBorders>
              <w:top w:val="nil"/>
              <w:left w:val="nil"/>
              <w:bottom w:val="nil"/>
              <w:right w:val="nil"/>
            </w:tcBorders>
            <w:shd w:val="clear" w:color="auto" w:fill="auto"/>
            <w:vAlign w:val="center"/>
            <w:hideMark/>
          </w:tcPr>
          <w:p w14:paraId="3723D60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p>
        </w:tc>
        <w:tc>
          <w:tcPr>
            <w:tcW w:w="0" w:type="auto"/>
            <w:tcBorders>
              <w:top w:val="nil"/>
              <w:left w:val="nil"/>
              <w:bottom w:val="nil"/>
              <w:right w:val="nil"/>
            </w:tcBorders>
            <w:shd w:val="clear" w:color="auto" w:fill="auto"/>
            <w:vAlign w:val="center"/>
            <w:hideMark/>
          </w:tcPr>
          <w:p w14:paraId="74D59B6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1B8DE9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C3F5A9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582F44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BE1FBD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78856B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473162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C754F71" w14:textId="77777777" w:rsidTr="00937254">
        <w:trPr>
          <w:trHeight w:val="300"/>
        </w:trPr>
        <w:tc>
          <w:tcPr>
            <w:tcW w:w="0" w:type="auto"/>
            <w:tcBorders>
              <w:top w:val="nil"/>
              <w:left w:val="nil"/>
              <w:bottom w:val="nil"/>
              <w:right w:val="nil"/>
            </w:tcBorders>
            <w:shd w:val="clear" w:color="auto" w:fill="auto"/>
            <w:vAlign w:val="center"/>
            <w:hideMark/>
          </w:tcPr>
          <w:p w14:paraId="0811EFFC"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Loss for the period</w:t>
            </w:r>
          </w:p>
        </w:tc>
        <w:tc>
          <w:tcPr>
            <w:tcW w:w="0" w:type="auto"/>
            <w:tcBorders>
              <w:top w:val="nil"/>
              <w:left w:val="nil"/>
              <w:bottom w:val="nil"/>
              <w:right w:val="nil"/>
            </w:tcBorders>
            <w:shd w:val="clear" w:color="auto" w:fill="auto"/>
            <w:vAlign w:val="center"/>
            <w:hideMark/>
          </w:tcPr>
          <w:p w14:paraId="3330572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08BA33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8017C7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1C103134"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43C612C"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0B68A13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(16,661,349)</w:t>
            </w:r>
          </w:p>
        </w:tc>
        <w:tc>
          <w:tcPr>
            <w:tcW w:w="0" w:type="auto"/>
            <w:tcBorders>
              <w:top w:val="nil"/>
              <w:left w:val="nil"/>
              <w:bottom w:val="nil"/>
              <w:right w:val="nil"/>
            </w:tcBorders>
            <w:shd w:val="clear" w:color="auto" w:fill="auto"/>
            <w:vAlign w:val="center"/>
            <w:hideMark/>
          </w:tcPr>
          <w:p w14:paraId="47FC7DD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(16,661,349)</w:t>
            </w:r>
          </w:p>
        </w:tc>
      </w:tr>
      <w:tr w:rsidR="00937254" w:rsidRPr="00937254" w14:paraId="75F0E120" w14:textId="77777777" w:rsidTr="00937254">
        <w:trPr>
          <w:trHeight w:val="300"/>
        </w:trPr>
        <w:tc>
          <w:tcPr>
            <w:tcW w:w="0" w:type="auto"/>
            <w:tcBorders>
              <w:top w:val="nil"/>
              <w:left w:val="nil"/>
              <w:bottom w:val="nil"/>
              <w:right w:val="nil"/>
            </w:tcBorders>
            <w:shd w:val="clear" w:color="auto" w:fill="auto"/>
            <w:vAlign w:val="center"/>
            <w:hideMark/>
          </w:tcPr>
          <w:p w14:paraId="7B7578D0"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Other comprehensive income for the period</w:t>
            </w:r>
          </w:p>
        </w:tc>
        <w:tc>
          <w:tcPr>
            <w:tcW w:w="0" w:type="auto"/>
            <w:tcBorders>
              <w:top w:val="nil"/>
              <w:left w:val="nil"/>
              <w:bottom w:val="nil"/>
              <w:right w:val="nil"/>
            </w:tcBorders>
            <w:shd w:val="clear" w:color="auto" w:fill="auto"/>
            <w:vAlign w:val="center"/>
            <w:hideMark/>
          </w:tcPr>
          <w:p w14:paraId="64A8D0C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B5F317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4DF8CE9C"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D1B1B99"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3FEB01E" w14:textId="77777777" w:rsidR="00937254" w:rsidRPr="00937254" w:rsidRDefault="00937254" w:rsidP="00937254">
            <w:pPr>
              <w:widowControl/>
              <w:autoSpaceDE/>
              <w:autoSpaceDN/>
              <w:jc w:val="right"/>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0CB7728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4B2443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r>
      <w:tr w:rsidR="00937254" w:rsidRPr="00937254" w14:paraId="41132A27" w14:textId="77777777" w:rsidTr="00937254">
        <w:trPr>
          <w:trHeight w:val="315"/>
        </w:trPr>
        <w:tc>
          <w:tcPr>
            <w:tcW w:w="0" w:type="auto"/>
            <w:tcBorders>
              <w:top w:val="nil"/>
              <w:left w:val="nil"/>
              <w:bottom w:val="nil"/>
              <w:right w:val="nil"/>
            </w:tcBorders>
            <w:shd w:val="clear" w:color="auto" w:fill="auto"/>
            <w:hideMark/>
          </w:tcPr>
          <w:p w14:paraId="34F98A54"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p>
        </w:tc>
        <w:tc>
          <w:tcPr>
            <w:tcW w:w="0" w:type="auto"/>
            <w:tcBorders>
              <w:top w:val="nil"/>
              <w:left w:val="nil"/>
              <w:bottom w:val="single" w:sz="8" w:space="0" w:color="000000"/>
              <w:right w:val="nil"/>
            </w:tcBorders>
            <w:shd w:val="clear" w:color="auto" w:fill="auto"/>
            <w:hideMark/>
          </w:tcPr>
          <w:p w14:paraId="643C7C2D"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7F74A502"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38EB35B0"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3277736F"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2B9442A4"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71CD54D5"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c>
          <w:tcPr>
            <w:tcW w:w="0" w:type="auto"/>
            <w:tcBorders>
              <w:top w:val="nil"/>
              <w:left w:val="nil"/>
              <w:bottom w:val="single" w:sz="8" w:space="0" w:color="000000"/>
              <w:right w:val="nil"/>
            </w:tcBorders>
            <w:shd w:val="clear" w:color="auto" w:fill="auto"/>
            <w:hideMark/>
          </w:tcPr>
          <w:p w14:paraId="6D3C659D"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w:t>
            </w:r>
          </w:p>
        </w:tc>
      </w:tr>
      <w:tr w:rsidR="00937254" w:rsidRPr="00937254" w14:paraId="51830F15" w14:textId="77777777" w:rsidTr="00937254">
        <w:trPr>
          <w:trHeight w:val="300"/>
        </w:trPr>
        <w:tc>
          <w:tcPr>
            <w:tcW w:w="0" w:type="auto"/>
            <w:tcBorders>
              <w:top w:val="nil"/>
              <w:left w:val="nil"/>
              <w:bottom w:val="nil"/>
              <w:right w:val="nil"/>
            </w:tcBorders>
            <w:shd w:val="clear" w:color="auto" w:fill="auto"/>
            <w:vAlign w:val="center"/>
            <w:hideMark/>
          </w:tcPr>
          <w:p w14:paraId="1744E639" w14:textId="77777777" w:rsidR="00937254" w:rsidRPr="00937254" w:rsidRDefault="00937254" w:rsidP="00937254">
            <w:pPr>
              <w:widowControl/>
              <w:autoSpaceDE/>
              <w:autoSpaceDN/>
              <w:rPr>
                <w:rFonts w:eastAsia="Times New Roman"/>
                <w:color w:val="000000"/>
                <w:lang w:bidi="ar-SA"/>
              </w:rPr>
            </w:pPr>
          </w:p>
        </w:tc>
        <w:tc>
          <w:tcPr>
            <w:tcW w:w="0" w:type="auto"/>
            <w:tcBorders>
              <w:top w:val="nil"/>
              <w:left w:val="nil"/>
              <w:bottom w:val="nil"/>
              <w:right w:val="nil"/>
            </w:tcBorders>
            <w:shd w:val="clear" w:color="auto" w:fill="auto"/>
            <w:vAlign w:val="center"/>
            <w:hideMark/>
          </w:tcPr>
          <w:p w14:paraId="4940DA3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7FF809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7FF3EA5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B71866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D3F3C2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DF33FE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7E6EF9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7A974F67" w14:textId="77777777" w:rsidTr="00937254">
        <w:trPr>
          <w:trHeight w:val="300"/>
        </w:trPr>
        <w:tc>
          <w:tcPr>
            <w:tcW w:w="0" w:type="auto"/>
            <w:tcBorders>
              <w:top w:val="nil"/>
              <w:left w:val="nil"/>
              <w:bottom w:val="nil"/>
              <w:right w:val="nil"/>
            </w:tcBorders>
            <w:shd w:val="clear" w:color="auto" w:fill="auto"/>
            <w:vAlign w:val="center"/>
            <w:hideMark/>
          </w:tcPr>
          <w:p w14:paraId="2BE6898C"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Total comprehensive income for the period</w:t>
            </w:r>
          </w:p>
        </w:tc>
        <w:tc>
          <w:tcPr>
            <w:tcW w:w="0" w:type="auto"/>
            <w:tcBorders>
              <w:top w:val="nil"/>
              <w:left w:val="nil"/>
              <w:bottom w:val="nil"/>
              <w:right w:val="nil"/>
            </w:tcBorders>
            <w:shd w:val="clear" w:color="auto" w:fill="auto"/>
            <w:vAlign w:val="center"/>
            <w:hideMark/>
          </w:tcPr>
          <w:p w14:paraId="46378F6F"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C866B6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2BD3B66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7409285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1E5C8D4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FA4E5AF"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(16,661,349)</w:t>
            </w:r>
          </w:p>
        </w:tc>
        <w:tc>
          <w:tcPr>
            <w:tcW w:w="0" w:type="auto"/>
            <w:tcBorders>
              <w:top w:val="nil"/>
              <w:left w:val="nil"/>
              <w:bottom w:val="nil"/>
              <w:right w:val="nil"/>
            </w:tcBorders>
            <w:shd w:val="clear" w:color="auto" w:fill="auto"/>
            <w:vAlign w:val="center"/>
            <w:hideMark/>
          </w:tcPr>
          <w:p w14:paraId="540C654E"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(16,661,349)</w:t>
            </w:r>
          </w:p>
        </w:tc>
      </w:tr>
      <w:tr w:rsidR="00937254" w:rsidRPr="00937254" w14:paraId="06E2E3C6" w14:textId="77777777" w:rsidTr="00937254">
        <w:trPr>
          <w:trHeight w:val="300"/>
        </w:trPr>
        <w:tc>
          <w:tcPr>
            <w:tcW w:w="0" w:type="auto"/>
            <w:tcBorders>
              <w:top w:val="nil"/>
              <w:left w:val="nil"/>
              <w:bottom w:val="nil"/>
              <w:right w:val="nil"/>
            </w:tcBorders>
            <w:shd w:val="clear" w:color="auto" w:fill="auto"/>
            <w:vAlign w:val="center"/>
            <w:hideMark/>
          </w:tcPr>
          <w:p w14:paraId="19CE1C1B"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Shares issued</w:t>
            </w:r>
          </w:p>
        </w:tc>
        <w:tc>
          <w:tcPr>
            <w:tcW w:w="0" w:type="auto"/>
            <w:tcBorders>
              <w:top w:val="nil"/>
              <w:left w:val="nil"/>
              <w:bottom w:val="nil"/>
              <w:right w:val="nil"/>
            </w:tcBorders>
            <w:shd w:val="clear" w:color="auto" w:fill="auto"/>
            <w:vAlign w:val="center"/>
            <w:hideMark/>
          </w:tcPr>
          <w:p w14:paraId="1318EAB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575,322 </w:t>
            </w:r>
          </w:p>
        </w:tc>
        <w:tc>
          <w:tcPr>
            <w:tcW w:w="0" w:type="auto"/>
            <w:tcBorders>
              <w:top w:val="nil"/>
              <w:left w:val="nil"/>
              <w:bottom w:val="nil"/>
              <w:right w:val="nil"/>
            </w:tcBorders>
            <w:shd w:val="clear" w:color="auto" w:fill="auto"/>
            <w:vAlign w:val="center"/>
            <w:hideMark/>
          </w:tcPr>
          <w:p w14:paraId="3DF0223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17,465,990 </w:t>
            </w:r>
          </w:p>
        </w:tc>
        <w:tc>
          <w:tcPr>
            <w:tcW w:w="0" w:type="auto"/>
            <w:tcBorders>
              <w:top w:val="nil"/>
              <w:left w:val="nil"/>
              <w:bottom w:val="nil"/>
              <w:right w:val="nil"/>
            </w:tcBorders>
            <w:shd w:val="clear" w:color="auto" w:fill="auto"/>
            <w:vAlign w:val="center"/>
            <w:hideMark/>
          </w:tcPr>
          <w:p w14:paraId="405DDF1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C435A6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6EF0095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09A34C6A"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8B73115"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18,041,312 </w:t>
            </w:r>
          </w:p>
        </w:tc>
      </w:tr>
      <w:tr w:rsidR="00937254" w:rsidRPr="00937254" w14:paraId="1F73B2FF" w14:textId="77777777" w:rsidTr="00937254">
        <w:trPr>
          <w:trHeight w:val="315"/>
        </w:trPr>
        <w:tc>
          <w:tcPr>
            <w:tcW w:w="0" w:type="auto"/>
            <w:tcBorders>
              <w:top w:val="nil"/>
              <w:left w:val="nil"/>
              <w:bottom w:val="nil"/>
              <w:right w:val="nil"/>
            </w:tcBorders>
            <w:shd w:val="clear" w:color="auto" w:fill="auto"/>
            <w:vAlign w:val="center"/>
            <w:hideMark/>
          </w:tcPr>
          <w:p w14:paraId="4948E10C" w14:textId="77777777" w:rsidR="00937254" w:rsidRPr="00937254" w:rsidRDefault="00937254" w:rsidP="00937254">
            <w:pPr>
              <w:widowControl/>
              <w:autoSpaceDE/>
              <w:autoSpaceDN/>
              <w:ind w:firstLineChars="100" w:firstLine="160"/>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Share Option expense</w:t>
            </w:r>
          </w:p>
        </w:tc>
        <w:tc>
          <w:tcPr>
            <w:tcW w:w="0" w:type="auto"/>
            <w:tcBorders>
              <w:top w:val="nil"/>
              <w:left w:val="nil"/>
              <w:bottom w:val="nil"/>
              <w:right w:val="nil"/>
            </w:tcBorders>
            <w:shd w:val="clear" w:color="auto" w:fill="auto"/>
            <w:vAlign w:val="center"/>
            <w:hideMark/>
          </w:tcPr>
          <w:p w14:paraId="0BEE5318"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0F6690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1827286D"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3146A801"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126,364 </w:t>
            </w:r>
          </w:p>
        </w:tc>
        <w:tc>
          <w:tcPr>
            <w:tcW w:w="0" w:type="auto"/>
            <w:tcBorders>
              <w:top w:val="nil"/>
              <w:left w:val="nil"/>
              <w:bottom w:val="nil"/>
              <w:right w:val="nil"/>
            </w:tcBorders>
            <w:shd w:val="clear" w:color="auto" w:fill="auto"/>
            <w:vAlign w:val="center"/>
            <w:hideMark/>
          </w:tcPr>
          <w:p w14:paraId="7EA7EFFF"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0BAF0E5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 </w:t>
            </w:r>
          </w:p>
        </w:tc>
        <w:tc>
          <w:tcPr>
            <w:tcW w:w="0" w:type="auto"/>
            <w:tcBorders>
              <w:top w:val="nil"/>
              <w:left w:val="nil"/>
              <w:bottom w:val="nil"/>
              <w:right w:val="nil"/>
            </w:tcBorders>
            <w:shd w:val="clear" w:color="auto" w:fill="auto"/>
            <w:vAlign w:val="center"/>
            <w:hideMark/>
          </w:tcPr>
          <w:p w14:paraId="55C5C717"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126,364 </w:t>
            </w:r>
          </w:p>
        </w:tc>
      </w:tr>
      <w:tr w:rsidR="00937254" w:rsidRPr="00937254" w14:paraId="788B46BD" w14:textId="77777777" w:rsidTr="00937254">
        <w:trPr>
          <w:trHeight w:val="300"/>
        </w:trPr>
        <w:tc>
          <w:tcPr>
            <w:tcW w:w="0" w:type="auto"/>
            <w:tcBorders>
              <w:top w:val="nil"/>
              <w:left w:val="nil"/>
              <w:bottom w:val="nil"/>
              <w:right w:val="nil"/>
            </w:tcBorders>
            <w:shd w:val="clear" w:color="auto" w:fill="auto"/>
            <w:vAlign w:val="center"/>
            <w:hideMark/>
          </w:tcPr>
          <w:p w14:paraId="34A69ADB"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p>
        </w:tc>
        <w:tc>
          <w:tcPr>
            <w:tcW w:w="0" w:type="auto"/>
            <w:tcBorders>
              <w:top w:val="single" w:sz="8" w:space="0" w:color="000000"/>
              <w:left w:val="nil"/>
              <w:bottom w:val="nil"/>
              <w:right w:val="nil"/>
            </w:tcBorders>
            <w:shd w:val="clear" w:color="auto" w:fill="auto"/>
            <w:vAlign w:val="center"/>
            <w:hideMark/>
          </w:tcPr>
          <w:p w14:paraId="768FA291"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7F5C7ACD"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19DFFA7E"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40997C87"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5B4B2F31"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6E5E5712"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c>
          <w:tcPr>
            <w:tcW w:w="0" w:type="auto"/>
            <w:tcBorders>
              <w:top w:val="single" w:sz="8" w:space="0" w:color="000000"/>
              <w:left w:val="nil"/>
              <w:bottom w:val="nil"/>
              <w:right w:val="nil"/>
            </w:tcBorders>
            <w:shd w:val="clear" w:color="auto" w:fill="auto"/>
            <w:vAlign w:val="center"/>
            <w:hideMark/>
          </w:tcPr>
          <w:p w14:paraId="343F3970" w14:textId="77777777" w:rsidR="00937254" w:rsidRPr="00937254" w:rsidRDefault="00937254" w:rsidP="00937254">
            <w:pPr>
              <w:widowControl/>
              <w:autoSpaceDE/>
              <w:autoSpaceDN/>
              <w:rPr>
                <w:rFonts w:ascii="Arial" w:eastAsia="Times New Roman" w:hAnsi="Arial" w:cs="Arial"/>
                <w:b/>
                <w:bCs/>
                <w:color w:val="000000"/>
                <w:sz w:val="15"/>
                <w:szCs w:val="15"/>
                <w:lang w:bidi="ar-SA"/>
              </w:rPr>
            </w:pPr>
            <w:r w:rsidRPr="00937254">
              <w:rPr>
                <w:rFonts w:ascii="Arial" w:eastAsia="Times New Roman" w:hAnsi="Arial" w:cs="Arial"/>
                <w:b/>
                <w:bCs/>
                <w:color w:val="000000"/>
                <w:sz w:val="15"/>
                <w:szCs w:val="15"/>
                <w:lang w:bidi="ar-SA"/>
              </w:rPr>
              <w:t> </w:t>
            </w:r>
          </w:p>
        </w:tc>
      </w:tr>
      <w:tr w:rsidR="00937254" w:rsidRPr="00937254" w14:paraId="72F9A8F3" w14:textId="77777777" w:rsidTr="00937254">
        <w:trPr>
          <w:trHeight w:val="315"/>
        </w:trPr>
        <w:tc>
          <w:tcPr>
            <w:tcW w:w="0" w:type="auto"/>
            <w:tcBorders>
              <w:top w:val="nil"/>
              <w:left w:val="nil"/>
              <w:bottom w:val="nil"/>
              <w:right w:val="nil"/>
            </w:tcBorders>
            <w:shd w:val="clear" w:color="auto" w:fill="auto"/>
            <w:vAlign w:val="center"/>
            <w:hideMark/>
          </w:tcPr>
          <w:p w14:paraId="1225C4B0" w14:textId="77777777" w:rsidR="00937254" w:rsidRPr="00937254" w:rsidRDefault="00937254" w:rsidP="00937254">
            <w:pPr>
              <w:widowControl/>
              <w:autoSpaceDE/>
              <w:autoSpaceDN/>
              <w:ind w:firstLineChars="100" w:firstLine="161"/>
              <w:rPr>
                <w:rFonts w:ascii="Arial" w:eastAsia="Times New Roman" w:hAnsi="Arial" w:cs="Arial"/>
                <w:b/>
                <w:bCs/>
                <w:color w:val="000000"/>
                <w:sz w:val="16"/>
                <w:szCs w:val="16"/>
                <w:lang w:bidi="ar-SA"/>
              </w:rPr>
            </w:pPr>
            <w:r w:rsidRPr="00937254">
              <w:rPr>
                <w:rFonts w:ascii="Arial" w:eastAsia="Times New Roman" w:hAnsi="Arial" w:cs="Arial"/>
                <w:b/>
                <w:bCs/>
                <w:color w:val="000000"/>
                <w:sz w:val="16"/>
                <w:szCs w:val="16"/>
                <w:lang w:bidi="ar-SA"/>
              </w:rPr>
              <w:t>Balance at 31 July 2021</w:t>
            </w:r>
          </w:p>
        </w:tc>
        <w:tc>
          <w:tcPr>
            <w:tcW w:w="0" w:type="auto"/>
            <w:tcBorders>
              <w:top w:val="nil"/>
              <w:left w:val="nil"/>
              <w:bottom w:val="double" w:sz="6" w:space="0" w:color="000000"/>
              <w:right w:val="nil"/>
            </w:tcBorders>
            <w:shd w:val="clear" w:color="auto" w:fill="auto"/>
            <w:vAlign w:val="center"/>
            <w:hideMark/>
          </w:tcPr>
          <w:p w14:paraId="4DF74983"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12,032,779 </w:t>
            </w:r>
          </w:p>
        </w:tc>
        <w:tc>
          <w:tcPr>
            <w:tcW w:w="0" w:type="auto"/>
            <w:tcBorders>
              <w:top w:val="nil"/>
              <w:left w:val="nil"/>
              <w:bottom w:val="double" w:sz="6" w:space="0" w:color="000000"/>
              <w:right w:val="nil"/>
            </w:tcBorders>
            <w:shd w:val="clear" w:color="auto" w:fill="auto"/>
            <w:vAlign w:val="center"/>
            <w:hideMark/>
          </w:tcPr>
          <w:p w14:paraId="22CBFB90"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51,389,162 </w:t>
            </w:r>
          </w:p>
        </w:tc>
        <w:tc>
          <w:tcPr>
            <w:tcW w:w="0" w:type="auto"/>
            <w:tcBorders>
              <w:top w:val="nil"/>
              <w:left w:val="nil"/>
              <w:bottom w:val="double" w:sz="6" w:space="0" w:color="000000"/>
              <w:right w:val="nil"/>
            </w:tcBorders>
            <w:shd w:val="clear" w:color="auto" w:fill="auto"/>
            <w:vAlign w:val="center"/>
            <w:hideMark/>
          </w:tcPr>
          <w:p w14:paraId="067E760B"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8,988,112 </w:t>
            </w:r>
          </w:p>
        </w:tc>
        <w:tc>
          <w:tcPr>
            <w:tcW w:w="0" w:type="auto"/>
            <w:tcBorders>
              <w:top w:val="nil"/>
              <w:left w:val="nil"/>
              <w:bottom w:val="double" w:sz="6" w:space="0" w:color="000000"/>
              <w:right w:val="nil"/>
            </w:tcBorders>
            <w:shd w:val="clear" w:color="auto" w:fill="auto"/>
            <w:vAlign w:val="center"/>
            <w:hideMark/>
          </w:tcPr>
          <w:p w14:paraId="3C833659"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252,037 </w:t>
            </w:r>
          </w:p>
        </w:tc>
        <w:tc>
          <w:tcPr>
            <w:tcW w:w="0" w:type="auto"/>
            <w:tcBorders>
              <w:top w:val="nil"/>
              <w:left w:val="nil"/>
              <w:bottom w:val="double" w:sz="6" w:space="0" w:color="000000"/>
              <w:right w:val="nil"/>
            </w:tcBorders>
            <w:shd w:val="clear" w:color="auto" w:fill="auto"/>
            <w:vAlign w:val="center"/>
            <w:hideMark/>
          </w:tcPr>
          <w:p w14:paraId="10C8D092"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6,074,895 </w:t>
            </w:r>
          </w:p>
        </w:tc>
        <w:tc>
          <w:tcPr>
            <w:tcW w:w="0" w:type="auto"/>
            <w:tcBorders>
              <w:top w:val="nil"/>
              <w:left w:val="nil"/>
              <w:bottom w:val="double" w:sz="6" w:space="0" w:color="000000"/>
              <w:right w:val="nil"/>
            </w:tcBorders>
            <w:shd w:val="clear" w:color="auto" w:fill="auto"/>
            <w:vAlign w:val="center"/>
            <w:hideMark/>
          </w:tcPr>
          <w:p w14:paraId="02F63B86"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(56,526,475)</w:t>
            </w:r>
          </w:p>
        </w:tc>
        <w:tc>
          <w:tcPr>
            <w:tcW w:w="0" w:type="auto"/>
            <w:tcBorders>
              <w:top w:val="nil"/>
              <w:left w:val="nil"/>
              <w:bottom w:val="double" w:sz="6" w:space="0" w:color="000000"/>
              <w:right w:val="nil"/>
            </w:tcBorders>
            <w:shd w:val="clear" w:color="auto" w:fill="auto"/>
            <w:vAlign w:val="center"/>
            <w:hideMark/>
          </w:tcPr>
          <w:p w14:paraId="3B5625EC" w14:textId="77777777" w:rsidR="00937254" w:rsidRPr="00937254" w:rsidRDefault="00937254" w:rsidP="00937254">
            <w:pPr>
              <w:widowControl/>
              <w:autoSpaceDE/>
              <w:autoSpaceDN/>
              <w:jc w:val="right"/>
              <w:rPr>
                <w:rFonts w:ascii="Arial" w:eastAsia="Times New Roman" w:hAnsi="Arial" w:cs="Arial"/>
                <w:color w:val="000000"/>
                <w:sz w:val="16"/>
                <w:szCs w:val="16"/>
                <w:lang w:bidi="ar-SA"/>
              </w:rPr>
            </w:pPr>
            <w:r w:rsidRPr="00937254">
              <w:rPr>
                <w:rFonts w:ascii="Arial" w:eastAsia="Times New Roman" w:hAnsi="Arial" w:cs="Arial"/>
                <w:color w:val="000000"/>
                <w:sz w:val="16"/>
                <w:szCs w:val="16"/>
                <w:lang w:bidi="ar-SA"/>
              </w:rPr>
              <w:t xml:space="preserve">          22,210,510 </w:t>
            </w:r>
          </w:p>
        </w:tc>
      </w:tr>
    </w:tbl>
    <w:p w14:paraId="2154B02D" w14:textId="77777777" w:rsidR="006D2D0D" w:rsidRPr="00DB2968" w:rsidRDefault="006D2D0D" w:rsidP="0089653F">
      <w:pPr>
        <w:tabs>
          <w:tab w:val="left" w:pos="989"/>
        </w:tabs>
        <w:rPr>
          <w:rFonts w:asciiTheme="minorHAnsi" w:hAnsiTheme="minorHAnsi" w:cstheme="minorHAnsi"/>
          <w:sz w:val="20"/>
          <w:szCs w:val="20"/>
        </w:rPr>
        <w:sectPr w:rsidR="006D2D0D" w:rsidRPr="00DB2968" w:rsidSect="006D2D0D">
          <w:pgSz w:w="16840" w:h="11910" w:orient="landscape"/>
          <w:pgMar w:top="1077" w:right="1440" w:bottom="1077" w:left="1440" w:header="0" w:footer="539" w:gutter="0"/>
          <w:cols w:space="720"/>
          <w:docGrid w:linePitch="299"/>
        </w:sectPr>
      </w:pPr>
    </w:p>
    <w:tbl>
      <w:tblPr>
        <w:tblW w:w="0" w:type="auto"/>
        <w:tblLook w:val="04A0" w:firstRow="1" w:lastRow="0" w:firstColumn="1" w:lastColumn="0" w:noHBand="0" w:noVBand="1"/>
      </w:tblPr>
      <w:tblGrid>
        <w:gridCol w:w="5702"/>
        <w:gridCol w:w="1816"/>
        <w:gridCol w:w="222"/>
        <w:gridCol w:w="2010"/>
      </w:tblGrid>
      <w:tr w:rsidR="00937254" w:rsidRPr="00937254" w14:paraId="613BFE4B" w14:textId="77777777" w:rsidTr="00937254">
        <w:trPr>
          <w:trHeight w:val="300"/>
        </w:trPr>
        <w:tc>
          <w:tcPr>
            <w:tcW w:w="0" w:type="auto"/>
            <w:gridSpan w:val="2"/>
            <w:tcBorders>
              <w:top w:val="nil"/>
              <w:left w:val="nil"/>
              <w:bottom w:val="nil"/>
              <w:right w:val="nil"/>
            </w:tcBorders>
            <w:shd w:val="clear" w:color="auto" w:fill="auto"/>
            <w:noWrap/>
            <w:vAlign w:val="center"/>
            <w:hideMark/>
          </w:tcPr>
          <w:p w14:paraId="29A87BE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lastRenderedPageBreak/>
              <w:t>CONSOLIDATED CASH FLOW STATEMENT</w:t>
            </w:r>
          </w:p>
        </w:tc>
        <w:tc>
          <w:tcPr>
            <w:tcW w:w="0" w:type="auto"/>
            <w:tcBorders>
              <w:top w:val="nil"/>
              <w:left w:val="nil"/>
              <w:bottom w:val="nil"/>
              <w:right w:val="nil"/>
            </w:tcBorders>
            <w:shd w:val="clear" w:color="auto" w:fill="auto"/>
            <w:vAlign w:val="bottom"/>
            <w:hideMark/>
          </w:tcPr>
          <w:p w14:paraId="3FA5037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bottom"/>
            <w:hideMark/>
          </w:tcPr>
          <w:p w14:paraId="3881A8F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D74F44B" w14:textId="77777777" w:rsidTr="00937254">
        <w:trPr>
          <w:trHeight w:val="300"/>
        </w:trPr>
        <w:tc>
          <w:tcPr>
            <w:tcW w:w="0" w:type="auto"/>
            <w:tcBorders>
              <w:top w:val="nil"/>
              <w:left w:val="nil"/>
              <w:bottom w:val="nil"/>
              <w:right w:val="nil"/>
            </w:tcBorders>
            <w:shd w:val="clear" w:color="auto" w:fill="auto"/>
            <w:vAlign w:val="center"/>
            <w:hideMark/>
          </w:tcPr>
          <w:p w14:paraId="55977908"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As at 31 July 2021</w:t>
            </w:r>
          </w:p>
        </w:tc>
        <w:tc>
          <w:tcPr>
            <w:tcW w:w="0" w:type="auto"/>
            <w:tcBorders>
              <w:top w:val="nil"/>
              <w:left w:val="nil"/>
              <w:bottom w:val="nil"/>
              <w:right w:val="nil"/>
            </w:tcBorders>
            <w:shd w:val="clear" w:color="auto" w:fill="auto"/>
            <w:vAlign w:val="bottom"/>
            <w:hideMark/>
          </w:tcPr>
          <w:p w14:paraId="2F0B166D"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bottom"/>
            <w:hideMark/>
          </w:tcPr>
          <w:p w14:paraId="57682A5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bottom"/>
            <w:hideMark/>
          </w:tcPr>
          <w:p w14:paraId="522E18A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DFEC5BF" w14:textId="77777777" w:rsidTr="00937254">
        <w:trPr>
          <w:trHeight w:val="300"/>
        </w:trPr>
        <w:tc>
          <w:tcPr>
            <w:tcW w:w="0" w:type="auto"/>
            <w:tcBorders>
              <w:top w:val="nil"/>
              <w:left w:val="nil"/>
              <w:bottom w:val="nil"/>
              <w:right w:val="nil"/>
            </w:tcBorders>
            <w:shd w:val="clear" w:color="auto" w:fill="auto"/>
            <w:vAlign w:val="center"/>
            <w:hideMark/>
          </w:tcPr>
          <w:p w14:paraId="1ACCC67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CE6F902"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Twelve months</w:t>
            </w:r>
          </w:p>
        </w:tc>
        <w:tc>
          <w:tcPr>
            <w:tcW w:w="0" w:type="auto"/>
            <w:tcBorders>
              <w:top w:val="nil"/>
              <w:left w:val="nil"/>
              <w:bottom w:val="nil"/>
              <w:right w:val="nil"/>
            </w:tcBorders>
            <w:shd w:val="clear" w:color="auto" w:fill="auto"/>
            <w:vAlign w:val="center"/>
            <w:hideMark/>
          </w:tcPr>
          <w:p w14:paraId="03EB8E88"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7EC7B1D9"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Year ended</w:t>
            </w:r>
          </w:p>
        </w:tc>
      </w:tr>
      <w:tr w:rsidR="00937254" w:rsidRPr="00937254" w14:paraId="64C1DDEB" w14:textId="77777777" w:rsidTr="00937254">
        <w:trPr>
          <w:trHeight w:val="300"/>
        </w:trPr>
        <w:tc>
          <w:tcPr>
            <w:tcW w:w="0" w:type="auto"/>
            <w:tcBorders>
              <w:top w:val="nil"/>
              <w:left w:val="nil"/>
              <w:bottom w:val="nil"/>
              <w:right w:val="nil"/>
            </w:tcBorders>
            <w:shd w:val="clear" w:color="auto" w:fill="auto"/>
            <w:vAlign w:val="center"/>
            <w:hideMark/>
          </w:tcPr>
          <w:p w14:paraId="41F50A3A"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709624BD"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ended 31 July</w:t>
            </w:r>
          </w:p>
        </w:tc>
        <w:tc>
          <w:tcPr>
            <w:tcW w:w="0" w:type="auto"/>
            <w:tcBorders>
              <w:top w:val="nil"/>
              <w:left w:val="nil"/>
              <w:bottom w:val="nil"/>
              <w:right w:val="nil"/>
            </w:tcBorders>
            <w:shd w:val="clear" w:color="auto" w:fill="auto"/>
            <w:vAlign w:val="center"/>
            <w:hideMark/>
          </w:tcPr>
          <w:p w14:paraId="4B0C666A"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35C1BECF"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31 July</w:t>
            </w:r>
          </w:p>
        </w:tc>
      </w:tr>
      <w:tr w:rsidR="00937254" w:rsidRPr="00937254" w14:paraId="3E7656EF" w14:textId="77777777" w:rsidTr="00937254">
        <w:trPr>
          <w:trHeight w:val="300"/>
        </w:trPr>
        <w:tc>
          <w:tcPr>
            <w:tcW w:w="0" w:type="auto"/>
            <w:tcBorders>
              <w:top w:val="nil"/>
              <w:left w:val="nil"/>
              <w:bottom w:val="nil"/>
              <w:right w:val="nil"/>
            </w:tcBorders>
            <w:shd w:val="clear" w:color="auto" w:fill="auto"/>
            <w:vAlign w:val="center"/>
            <w:hideMark/>
          </w:tcPr>
          <w:p w14:paraId="7C6B6E96"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hideMark/>
          </w:tcPr>
          <w:p w14:paraId="407E781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ED2C1AF"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65D258D" w14:textId="77777777" w:rsidR="00937254" w:rsidRPr="00937254" w:rsidRDefault="00937254" w:rsidP="00937254">
            <w:pPr>
              <w:widowControl/>
              <w:autoSpaceDE/>
              <w:autoSpaceDN/>
              <w:jc w:val="center"/>
              <w:rPr>
                <w:rFonts w:ascii="Times New Roman" w:eastAsia="Times New Roman" w:hAnsi="Times New Roman" w:cs="Times New Roman"/>
                <w:sz w:val="20"/>
                <w:szCs w:val="20"/>
                <w:lang w:bidi="ar-SA"/>
              </w:rPr>
            </w:pPr>
          </w:p>
        </w:tc>
      </w:tr>
      <w:tr w:rsidR="00937254" w:rsidRPr="00937254" w14:paraId="6A940C33" w14:textId="77777777" w:rsidTr="00937254">
        <w:trPr>
          <w:trHeight w:val="300"/>
        </w:trPr>
        <w:tc>
          <w:tcPr>
            <w:tcW w:w="0" w:type="auto"/>
            <w:tcBorders>
              <w:top w:val="nil"/>
              <w:left w:val="nil"/>
              <w:bottom w:val="nil"/>
              <w:right w:val="nil"/>
            </w:tcBorders>
            <w:shd w:val="clear" w:color="auto" w:fill="auto"/>
            <w:vAlign w:val="center"/>
            <w:hideMark/>
          </w:tcPr>
          <w:p w14:paraId="5CF1D7F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4F69045"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2021</w:t>
            </w:r>
          </w:p>
        </w:tc>
        <w:tc>
          <w:tcPr>
            <w:tcW w:w="0" w:type="auto"/>
            <w:tcBorders>
              <w:top w:val="nil"/>
              <w:left w:val="nil"/>
              <w:bottom w:val="nil"/>
              <w:right w:val="nil"/>
            </w:tcBorders>
            <w:shd w:val="clear" w:color="auto" w:fill="auto"/>
            <w:vAlign w:val="center"/>
            <w:hideMark/>
          </w:tcPr>
          <w:p w14:paraId="42097EBC"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014FB9B5"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2020</w:t>
            </w:r>
          </w:p>
        </w:tc>
      </w:tr>
      <w:tr w:rsidR="00937254" w:rsidRPr="00937254" w14:paraId="475A706E" w14:textId="77777777" w:rsidTr="00937254">
        <w:trPr>
          <w:trHeight w:val="300"/>
        </w:trPr>
        <w:tc>
          <w:tcPr>
            <w:tcW w:w="0" w:type="auto"/>
            <w:tcBorders>
              <w:top w:val="nil"/>
              <w:left w:val="nil"/>
              <w:bottom w:val="nil"/>
              <w:right w:val="nil"/>
            </w:tcBorders>
            <w:shd w:val="clear" w:color="auto" w:fill="auto"/>
            <w:vAlign w:val="center"/>
            <w:hideMark/>
          </w:tcPr>
          <w:p w14:paraId="4CA4EA40"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6DBB89DD"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Unaudited</w:t>
            </w:r>
          </w:p>
        </w:tc>
        <w:tc>
          <w:tcPr>
            <w:tcW w:w="0" w:type="auto"/>
            <w:tcBorders>
              <w:top w:val="nil"/>
              <w:left w:val="nil"/>
              <w:bottom w:val="nil"/>
              <w:right w:val="nil"/>
            </w:tcBorders>
            <w:shd w:val="clear" w:color="auto" w:fill="auto"/>
            <w:vAlign w:val="center"/>
            <w:hideMark/>
          </w:tcPr>
          <w:p w14:paraId="4EA4E3B6"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26C0A3D9"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Audited</w:t>
            </w:r>
          </w:p>
        </w:tc>
      </w:tr>
      <w:tr w:rsidR="00937254" w:rsidRPr="00937254" w14:paraId="4A82F0BD" w14:textId="77777777" w:rsidTr="00937254">
        <w:trPr>
          <w:trHeight w:val="300"/>
        </w:trPr>
        <w:tc>
          <w:tcPr>
            <w:tcW w:w="0" w:type="auto"/>
            <w:tcBorders>
              <w:top w:val="nil"/>
              <w:left w:val="nil"/>
              <w:bottom w:val="nil"/>
              <w:right w:val="nil"/>
            </w:tcBorders>
            <w:shd w:val="clear" w:color="auto" w:fill="auto"/>
            <w:vAlign w:val="center"/>
            <w:hideMark/>
          </w:tcPr>
          <w:p w14:paraId="7398196E"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2D147943"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c>
          <w:tcPr>
            <w:tcW w:w="0" w:type="auto"/>
            <w:tcBorders>
              <w:top w:val="nil"/>
              <w:left w:val="nil"/>
              <w:bottom w:val="nil"/>
              <w:right w:val="nil"/>
            </w:tcBorders>
            <w:shd w:val="clear" w:color="auto" w:fill="auto"/>
            <w:vAlign w:val="center"/>
            <w:hideMark/>
          </w:tcPr>
          <w:p w14:paraId="057CD33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20BE95BB"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r>
      <w:tr w:rsidR="00937254" w:rsidRPr="00937254" w14:paraId="544D2655" w14:textId="77777777" w:rsidTr="00937254">
        <w:trPr>
          <w:trHeight w:val="300"/>
        </w:trPr>
        <w:tc>
          <w:tcPr>
            <w:tcW w:w="0" w:type="auto"/>
            <w:tcBorders>
              <w:top w:val="nil"/>
              <w:left w:val="nil"/>
              <w:bottom w:val="nil"/>
              <w:right w:val="nil"/>
            </w:tcBorders>
            <w:shd w:val="clear" w:color="auto" w:fill="auto"/>
            <w:vAlign w:val="center"/>
            <w:hideMark/>
          </w:tcPr>
          <w:p w14:paraId="1C5A5948"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Operating activities</w:t>
            </w:r>
          </w:p>
        </w:tc>
        <w:tc>
          <w:tcPr>
            <w:tcW w:w="0" w:type="auto"/>
            <w:tcBorders>
              <w:top w:val="nil"/>
              <w:left w:val="nil"/>
              <w:bottom w:val="nil"/>
              <w:right w:val="nil"/>
            </w:tcBorders>
            <w:shd w:val="clear" w:color="auto" w:fill="auto"/>
            <w:vAlign w:val="center"/>
            <w:hideMark/>
          </w:tcPr>
          <w:p w14:paraId="511FD1BB"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4CBDE41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2BE3916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0BE26BD" w14:textId="77777777" w:rsidTr="00937254">
        <w:trPr>
          <w:trHeight w:val="300"/>
        </w:trPr>
        <w:tc>
          <w:tcPr>
            <w:tcW w:w="0" w:type="auto"/>
            <w:tcBorders>
              <w:top w:val="nil"/>
              <w:left w:val="nil"/>
              <w:bottom w:val="nil"/>
              <w:right w:val="nil"/>
            </w:tcBorders>
            <w:shd w:val="clear" w:color="auto" w:fill="auto"/>
            <w:vAlign w:val="center"/>
            <w:hideMark/>
          </w:tcPr>
          <w:p w14:paraId="2EC45A8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Operating loss for the period</w:t>
            </w:r>
          </w:p>
        </w:tc>
        <w:tc>
          <w:tcPr>
            <w:tcW w:w="0" w:type="auto"/>
            <w:tcBorders>
              <w:top w:val="nil"/>
              <w:left w:val="nil"/>
              <w:bottom w:val="nil"/>
              <w:right w:val="nil"/>
            </w:tcBorders>
            <w:shd w:val="clear" w:color="auto" w:fill="auto"/>
            <w:vAlign w:val="center"/>
            <w:hideMark/>
          </w:tcPr>
          <w:p w14:paraId="3DD1CA1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(16,661,349)</w:t>
            </w:r>
          </w:p>
        </w:tc>
        <w:tc>
          <w:tcPr>
            <w:tcW w:w="0" w:type="auto"/>
            <w:tcBorders>
              <w:top w:val="nil"/>
              <w:left w:val="nil"/>
              <w:bottom w:val="nil"/>
              <w:right w:val="nil"/>
            </w:tcBorders>
            <w:shd w:val="clear" w:color="auto" w:fill="auto"/>
            <w:vAlign w:val="center"/>
            <w:hideMark/>
          </w:tcPr>
          <w:p w14:paraId="3443383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11D0579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(10,409,873)</w:t>
            </w:r>
          </w:p>
        </w:tc>
      </w:tr>
      <w:tr w:rsidR="00937254" w:rsidRPr="00937254" w14:paraId="082B3026" w14:textId="77777777" w:rsidTr="00937254">
        <w:trPr>
          <w:trHeight w:val="300"/>
        </w:trPr>
        <w:tc>
          <w:tcPr>
            <w:tcW w:w="0" w:type="auto"/>
            <w:tcBorders>
              <w:top w:val="nil"/>
              <w:left w:val="nil"/>
              <w:bottom w:val="nil"/>
              <w:right w:val="nil"/>
            </w:tcBorders>
            <w:shd w:val="clear" w:color="auto" w:fill="auto"/>
            <w:vAlign w:val="center"/>
            <w:hideMark/>
          </w:tcPr>
          <w:p w14:paraId="19E0C81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Depreciation</w:t>
            </w:r>
          </w:p>
        </w:tc>
        <w:tc>
          <w:tcPr>
            <w:tcW w:w="0" w:type="auto"/>
            <w:tcBorders>
              <w:top w:val="nil"/>
              <w:left w:val="nil"/>
              <w:bottom w:val="nil"/>
              <w:right w:val="nil"/>
            </w:tcBorders>
            <w:shd w:val="clear" w:color="auto" w:fill="auto"/>
            <w:vAlign w:val="center"/>
            <w:hideMark/>
          </w:tcPr>
          <w:p w14:paraId="5F68493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2,325,259 </w:t>
            </w:r>
          </w:p>
        </w:tc>
        <w:tc>
          <w:tcPr>
            <w:tcW w:w="0" w:type="auto"/>
            <w:tcBorders>
              <w:top w:val="nil"/>
              <w:left w:val="nil"/>
              <w:bottom w:val="nil"/>
              <w:right w:val="nil"/>
            </w:tcBorders>
            <w:shd w:val="clear" w:color="auto" w:fill="auto"/>
            <w:vAlign w:val="center"/>
            <w:hideMark/>
          </w:tcPr>
          <w:p w14:paraId="3ECD667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8E083B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1,224,655 </w:t>
            </w:r>
          </w:p>
        </w:tc>
      </w:tr>
      <w:tr w:rsidR="00937254" w:rsidRPr="00937254" w14:paraId="370252BC" w14:textId="77777777" w:rsidTr="00937254">
        <w:trPr>
          <w:trHeight w:val="510"/>
        </w:trPr>
        <w:tc>
          <w:tcPr>
            <w:tcW w:w="0" w:type="auto"/>
            <w:tcBorders>
              <w:top w:val="nil"/>
              <w:left w:val="nil"/>
              <w:bottom w:val="nil"/>
              <w:right w:val="nil"/>
            </w:tcBorders>
            <w:shd w:val="clear" w:color="auto" w:fill="auto"/>
            <w:vAlign w:val="center"/>
            <w:hideMark/>
          </w:tcPr>
          <w:p w14:paraId="7BE2DBA5"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Profit on disposal of intangible assets</w:t>
            </w:r>
          </w:p>
        </w:tc>
        <w:tc>
          <w:tcPr>
            <w:tcW w:w="0" w:type="auto"/>
            <w:tcBorders>
              <w:top w:val="nil"/>
              <w:left w:val="nil"/>
              <w:bottom w:val="nil"/>
              <w:right w:val="nil"/>
            </w:tcBorders>
            <w:shd w:val="clear" w:color="auto" w:fill="auto"/>
            <w:vAlign w:val="center"/>
            <w:hideMark/>
          </w:tcPr>
          <w:p w14:paraId="491151D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c>
          <w:tcPr>
            <w:tcW w:w="0" w:type="auto"/>
            <w:tcBorders>
              <w:top w:val="nil"/>
              <w:left w:val="nil"/>
              <w:bottom w:val="nil"/>
              <w:right w:val="nil"/>
            </w:tcBorders>
            <w:shd w:val="clear" w:color="auto" w:fill="auto"/>
            <w:vAlign w:val="center"/>
            <w:hideMark/>
          </w:tcPr>
          <w:p w14:paraId="387D533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3AED271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23EC340F" w14:textId="77777777" w:rsidTr="00937254">
        <w:trPr>
          <w:trHeight w:val="300"/>
        </w:trPr>
        <w:tc>
          <w:tcPr>
            <w:tcW w:w="0" w:type="auto"/>
            <w:tcBorders>
              <w:top w:val="nil"/>
              <w:left w:val="nil"/>
              <w:bottom w:val="nil"/>
              <w:right w:val="nil"/>
            </w:tcBorders>
            <w:shd w:val="clear" w:color="auto" w:fill="auto"/>
            <w:vAlign w:val="center"/>
            <w:hideMark/>
          </w:tcPr>
          <w:p w14:paraId="6F2CCFE9"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Profit from disposal of investments</w:t>
            </w:r>
          </w:p>
        </w:tc>
        <w:tc>
          <w:tcPr>
            <w:tcW w:w="0" w:type="auto"/>
            <w:tcBorders>
              <w:top w:val="nil"/>
              <w:left w:val="nil"/>
              <w:bottom w:val="nil"/>
              <w:right w:val="nil"/>
            </w:tcBorders>
            <w:shd w:val="clear" w:color="auto" w:fill="auto"/>
            <w:vAlign w:val="center"/>
            <w:hideMark/>
          </w:tcPr>
          <w:p w14:paraId="253100C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c>
          <w:tcPr>
            <w:tcW w:w="0" w:type="auto"/>
            <w:tcBorders>
              <w:top w:val="nil"/>
              <w:left w:val="nil"/>
              <w:bottom w:val="nil"/>
              <w:right w:val="nil"/>
            </w:tcBorders>
            <w:shd w:val="clear" w:color="auto" w:fill="auto"/>
            <w:vAlign w:val="center"/>
            <w:hideMark/>
          </w:tcPr>
          <w:p w14:paraId="63F791C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B9F938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48D20543" w14:textId="77777777" w:rsidTr="00937254">
        <w:trPr>
          <w:trHeight w:val="510"/>
        </w:trPr>
        <w:tc>
          <w:tcPr>
            <w:tcW w:w="0" w:type="auto"/>
            <w:tcBorders>
              <w:top w:val="nil"/>
              <w:left w:val="nil"/>
              <w:bottom w:val="nil"/>
              <w:right w:val="nil"/>
            </w:tcBorders>
            <w:shd w:val="clear" w:color="auto" w:fill="auto"/>
            <w:vAlign w:val="center"/>
            <w:hideMark/>
          </w:tcPr>
          <w:p w14:paraId="3795E0E4"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(Increase)/decrease in trade and other receivables</w:t>
            </w:r>
          </w:p>
        </w:tc>
        <w:tc>
          <w:tcPr>
            <w:tcW w:w="0" w:type="auto"/>
            <w:tcBorders>
              <w:top w:val="nil"/>
              <w:left w:val="nil"/>
              <w:bottom w:val="nil"/>
              <w:right w:val="nil"/>
            </w:tcBorders>
            <w:shd w:val="clear" w:color="auto" w:fill="auto"/>
            <w:vAlign w:val="center"/>
            <w:hideMark/>
          </w:tcPr>
          <w:p w14:paraId="0BE1629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1,058,890 </w:t>
            </w:r>
          </w:p>
        </w:tc>
        <w:tc>
          <w:tcPr>
            <w:tcW w:w="0" w:type="auto"/>
            <w:tcBorders>
              <w:top w:val="nil"/>
              <w:left w:val="nil"/>
              <w:bottom w:val="nil"/>
              <w:right w:val="nil"/>
            </w:tcBorders>
            <w:shd w:val="clear" w:color="auto" w:fill="auto"/>
            <w:vAlign w:val="center"/>
            <w:hideMark/>
          </w:tcPr>
          <w:p w14:paraId="608F496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7400413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(706,815)</w:t>
            </w:r>
          </w:p>
        </w:tc>
      </w:tr>
      <w:tr w:rsidR="00937254" w:rsidRPr="00937254" w14:paraId="1E0539A1" w14:textId="77777777" w:rsidTr="00937254">
        <w:trPr>
          <w:trHeight w:val="300"/>
        </w:trPr>
        <w:tc>
          <w:tcPr>
            <w:tcW w:w="0" w:type="auto"/>
            <w:tcBorders>
              <w:top w:val="nil"/>
              <w:left w:val="nil"/>
              <w:bottom w:val="nil"/>
              <w:right w:val="nil"/>
            </w:tcBorders>
            <w:shd w:val="clear" w:color="auto" w:fill="auto"/>
            <w:vAlign w:val="center"/>
            <w:hideMark/>
          </w:tcPr>
          <w:p w14:paraId="3C20BCF9"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Increase  in trade and other payables</w:t>
            </w:r>
          </w:p>
        </w:tc>
        <w:tc>
          <w:tcPr>
            <w:tcW w:w="0" w:type="auto"/>
            <w:tcBorders>
              <w:top w:val="nil"/>
              <w:left w:val="nil"/>
              <w:bottom w:val="nil"/>
              <w:right w:val="nil"/>
            </w:tcBorders>
            <w:shd w:val="clear" w:color="auto" w:fill="auto"/>
            <w:vAlign w:val="center"/>
            <w:hideMark/>
          </w:tcPr>
          <w:p w14:paraId="4EFE69E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6,601,061 </w:t>
            </w:r>
          </w:p>
        </w:tc>
        <w:tc>
          <w:tcPr>
            <w:tcW w:w="0" w:type="auto"/>
            <w:tcBorders>
              <w:top w:val="nil"/>
              <w:left w:val="nil"/>
              <w:bottom w:val="nil"/>
              <w:right w:val="nil"/>
            </w:tcBorders>
            <w:shd w:val="clear" w:color="auto" w:fill="auto"/>
            <w:vAlign w:val="center"/>
            <w:hideMark/>
          </w:tcPr>
          <w:p w14:paraId="1132C8A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4474A9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4,491,542 </w:t>
            </w:r>
          </w:p>
        </w:tc>
      </w:tr>
      <w:tr w:rsidR="00937254" w:rsidRPr="00937254" w14:paraId="706F2D94" w14:textId="77777777" w:rsidTr="00937254">
        <w:trPr>
          <w:trHeight w:val="300"/>
        </w:trPr>
        <w:tc>
          <w:tcPr>
            <w:tcW w:w="0" w:type="auto"/>
            <w:tcBorders>
              <w:top w:val="nil"/>
              <w:left w:val="nil"/>
              <w:bottom w:val="nil"/>
              <w:right w:val="nil"/>
            </w:tcBorders>
            <w:shd w:val="clear" w:color="auto" w:fill="auto"/>
            <w:vAlign w:val="center"/>
            <w:hideMark/>
          </w:tcPr>
          <w:p w14:paraId="4980A6DC" w14:textId="1C0B560C" w:rsidR="00937254" w:rsidRPr="00937254" w:rsidRDefault="00E07B40" w:rsidP="00937254">
            <w:pPr>
              <w:widowControl/>
              <w:autoSpaceDE/>
              <w:autoSpaceDN/>
              <w:rPr>
                <w:rFonts w:ascii="Arial" w:eastAsia="Times New Roman" w:hAnsi="Arial" w:cs="Arial"/>
                <w:color w:val="000000"/>
                <w:sz w:val="20"/>
                <w:szCs w:val="20"/>
                <w:lang w:bidi="ar-SA"/>
              </w:rPr>
            </w:pPr>
            <w:r>
              <w:rPr>
                <w:rFonts w:ascii="Arial" w:eastAsia="Times New Roman" w:hAnsi="Arial" w:cs="Arial"/>
                <w:color w:val="000000"/>
                <w:sz w:val="20"/>
                <w:szCs w:val="20"/>
                <w:lang w:bidi="ar-SA"/>
              </w:rPr>
              <w:t>(</w:t>
            </w:r>
            <w:r w:rsidR="00937254" w:rsidRPr="00937254">
              <w:rPr>
                <w:rFonts w:ascii="Arial" w:eastAsia="Times New Roman" w:hAnsi="Arial" w:cs="Arial"/>
                <w:color w:val="000000"/>
                <w:sz w:val="20"/>
                <w:szCs w:val="20"/>
                <w:lang w:bidi="ar-SA"/>
              </w:rPr>
              <w:t>Increase</w:t>
            </w:r>
            <w:r>
              <w:rPr>
                <w:rFonts w:ascii="Arial" w:eastAsia="Times New Roman" w:hAnsi="Arial" w:cs="Arial"/>
                <w:color w:val="000000"/>
                <w:sz w:val="20"/>
                <w:szCs w:val="20"/>
                <w:lang w:bidi="ar-SA"/>
              </w:rPr>
              <w:t>)/</w:t>
            </w:r>
            <w:r w:rsidR="00C41C7C">
              <w:rPr>
                <w:rFonts w:ascii="Arial" w:eastAsia="Times New Roman" w:hAnsi="Arial" w:cs="Arial"/>
                <w:color w:val="000000"/>
                <w:sz w:val="20"/>
                <w:szCs w:val="20"/>
                <w:lang w:bidi="ar-SA"/>
              </w:rPr>
              <w:t>decrease</w:t>
            </w:r>
            <w:r w:rsidR="00937254" w:rsidRPr="00937254">
              <w:rPr>
                <w:rFonts w:ascii="Arial" w:eastAsia="Times New Roman" w:hAnsi="Arial" w:cs="Arial"/>
                <w:color w:val="000000"/>
                <w:sz w:val="20"/>
                <w:szCs w:val="20"/>
                <w:lang w:bidi="ar-SA"/>
              </w:rPr>
              <w:t xml:space="preserve"> in inventories</w:t>
            </w:r>
          </w:p>
        </w:tc>
        <w:tc>
          <w:tcPr>
            <w:tcW w:w="0" w:type="auto"/>
            <w:tcBorders>
              <w:top w:val="nil"/>
              <w:left w:val="nil"/>
              <w:bottom w:val="nil"/>
              <w:right w:val="nil"/>
            </w:tcBorders>
            <w:shd w:val="clear" w:color="auto" w:fill="auto"/>
            <w:vAlign w:val="center"/>
            <w:hideMark/>
          </w:tcPr>
          <w:p w14:paraId="678E29C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96,376 </w:t>
            </w:r>
          </w:p>
        </w:tc>
        <w:tc>
          <w:tcPr>
            <w:tcW w:w="0" w:type="auto"/>
            <w:tcBorders>
              <w:top w:val="nil"/>
              <w:left w:val="nil"/>
              <w:bottom w:val="nil"/>
              <w:right w:val="nil"/>
            </w:tcBorders>
            <w:shd w:val="clear" w:color="auto" w:fill="auto"/>
            <w:vAlign w:val="center"/>
            <w:hideMark/>
          </w:tcPr>
          <w:p w14:paraId="53E67C2E" w14:textId="77777777" w:rsidR="00937254" w:rsidRPr="00937254" w:rsidRDefault="00937254" w:rsidP="00937254">
            <w:pPr>
              <w:widowControl/>
              <w:autoSpaceDE/>
              <w:autoSpaceDN/>
              <w:rPr>
                <w:rFonts w:ascii="Times New Roman" w:eastAsia="Times New Roman" w:hAnsi="Times New Roman" w:cs="Times New Roman"/>
                <w:color w:val="000000"/>
                <w:sz w:val="16"/>
                <w:szCs w:val="16"/>
                <w:lang w:bidi="ar-SA"/>
              </w:rPr>
            </w:pPr>
            <w:r w:rsidRPr="00937254">
              <w:rPr>
                <w:rFonts w:ascii="Times New Roman" w:eastAsia="Times New Roman" w:hAnsi="Times New Roman" w:cs="Times New Roman"/>
                <w:color w:val="000000"/>
                <w:sz w:val="16"/>
                <w:szCs w:val="16"/>
                <w:lang w:bidi="ar-SA"/>
              </w:rPr>
              <w:t xml:space="preserve">   </w:t>
            </w:r>
          </w:p>
        </w:tc>
        <w:tc>
          <w:tcPr>
            <w:tcW w:w="0" w:type="auto"/>
            <w:tcBorders>
              <w:top w:val="nil"/>
              <w:left w:val="nil"/>
              <w:bottom w:val="nil"/>
              <w:right w:val="nil"/>
            </w:tcBorders>
            <w:shd w:val="clear" w:color="auto" w:fill="auto"/>
            <w:vAlign w:val="center"/>
            <w:hideMark/>
          </w:tcPr>
          <w:p w14:paraId="4C36E154"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(331,465)</w:t>
            </w:r>
          </w:p>
        </w:tc>
      </w:tr>
      <w:tr w:rsidR="00937254" w:rsidRPr="00937254" w14:paraId="53374910" w14:textId="77777777" w:rsidTr="00937254">
        <w:trPr>
          <w:trHeight w:val="300"/>
        </w:trPr>
        <w:tc>
          <w:tcPr>
            <w:tcW w:w="0" w:type="auto"/>
            <w:tcBorders>
              <w:top w:val="nil"/>
              <w:left w:val="nil"/>
              <w:bottom w:val="nil"/>
              <w:right w:val="nil"/>
            </w:tcBorders>
            <w:shd w:val="clear" w:color="auto" w:fill="auto"/>
            <w:vAlign w:val="center"/>
            <w:hideMark/>
          </w:tcPr>
          <w:p w14:paraId="74346D5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Decrease in deferred income</w:t>
            </w:r>
          </w:p>
        </w:tc>
        <w:tc>
          <w:tcPr>
            <w:tcW w:w="0" w:type="auto"/>
            <w:tcBorders>
              <w:top w:val="nil"/>
              <w:left w:val="nil"/>
              <w:bottom w:val="nil"/>
              <w:right w:val="nil"/>
            </w:tcBorders>
            <w:shd w:val="clear" w:color="auto" w:fill="auto"/>
            <w:vAlign w:val="center"/>
            <w:hideMark/>
          </w:tcPr>
          <w:p w14:paraId="1A53961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(24,272)</w:t>
            </w:r>
          </w:p>
        </w:tc>
        <w:tc>
          <w:tcPr>
            <w:tcW w:w="0" w:type="auto"/>
            <w:tcBorders>
              <w:top w:val="nil"/>
              <w:left w:val="nil"/>
              <w:bottom w:val="nil"/>
              <w:right w:val="nil"/>
            </w:tcBorders>
            <w:shd w:val="clear" w:color="auto" w:fill="auto"/>
            <w:vAlign w:val="center"/>
            <w:hideMark/>
          </w:tcPr>
          <w:p w14:paraId="13B106EF" w14:textId="77777777" w:rsidR="00937254" w:rsidRPr="00937254" w:rsidRDefault="00937254" w:rsidP="00937254">
            <w:pPr>
              <w:widowControl/>
              <w:autoSpaceDE/>
              <w:autoSpaceDN/>
              <w:rPr>
                <w:rFonts w:ascii="Times New Roman" w:eastAsia="Times New Roman" w:hAnsi="Times New Roman" w:cs="Times New Roman"/>
                <w:color w:val="000000"/>
                <w:sz w:val="16"/>
                <w:szCs w:val="16"/>
                <w:lang w:bidi="ar-SA"/>
              </w:rPr>
            </w:pPr>
            <w:r w:rsidRPr="00937254">
              <w:rPr>
                <w:rFonts w:ascii="Times New Roman" w:eastAsia="Times New Roman" w:hAnsi="Times New Roman" w:cs="Times New Roman"/>
                <w:color w:val="000000"/>
                <w:sz w:val="16"/>
                <w:szCs w:val="16"/>
                <w:lang w:bidi="ar-SA"/>
              </w:rPr>
              <w:t xml:space="preserve">   </w:t>
            </w:r>
          </w:p>
        </w:tc>
        <w:tc>
          <w:tcPr>
            <w:tcW w:w="0" w:type="auto"/>
            <w:tcBorders>
              <w:top w:val="nil"/>
              <w:left w:val="nil"/>
              <w:bottom w:val="nil"/>
              <w:right w:val="nil"/>
            </w:tcBorders>
            <w:shd w:val="clear" w:color="auto" w:fill="auto"/>
            <w:vAlign w:val="center"/>
            <w:hideMark/>
          </w:tcPr>
          <w:p w14:paraId="0963C2D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5658E3E6" w14:textId="77777777" w:rsidTr="00937254">
        <w:trPr>
          <w:trHeight w:val="300"/>
        </w:trPr>
        <w:tc>
          <w:tcPr>
            <w:tcW w:w="0" w:type="auto"/>
            <w:tcBorders>
              <w:top w:val="nil"/>
              <w:left w:val="nil"/>
              <w:bottom w:val="nil"/>
              <w:right w:val="nil"/>
            </w:tcBorders>
            <w:shd w:val="clear" w:color="auto" w:fill="auto"/>
            <w:vAlign w:val="center"/>
            <w:hideMark/>
          </w:tcPr>
          <w:p w14:paraId="0AFACE2C"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Exchange differences</w:t>
            </w:r>
          </w:p>
        </w:tc>
        <w:tc>
          <w:tcPr>
            <w:tcW w:w="0" w:type="auto"/>
            <w:tcBorders>
              <w:top w:val="nil"/>
              <w:left w:val="nil"/>
              <w:bottom w:val="nil"/>
              <w:right w:val="nil"/>
            </w:tcBorders>
            <w:shd w:val="clear" w:color="auto" w:fill="auto"/>
            <w:vAlign w:val="center"/>
            <w:hideMark/>
          </w:tcPr>
          <w:p w14:paraId="52C41BE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(436)</w:t>
            </w:r>
          </w:p>
        </w:tc>
        <w:tc>
          <w:tcPr>
            <w:tcW w:w="0" w:type="auto"/>
            <w:tcBorders>
              <w:top w:val="nil"/>
              <w:left w:val="nil"/>
              <w:bottom w:val="nil"/>
              <w:right w:val="nil"/>
            </w:tcBorders>
            <w:shd w:val="clear" w:color="auto" w:fill="auto"/>
            <w:vAlign w:val="center"/>
            <w:hideMark/>
          </w:tcPr>
          <w:p w14:paraId="486FC71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336549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717 </w:t>
            </w:r>
          </w:p>
        </w:tc>
      </w:tr>
      <w:tr w:rsidR="00937254" w:rsidRPr="00937254" w14:paraId="4D4F20EB" w14:textId="77777777" w:rsidTr="00937254">
        <w:trPr>
          <w:trHeight w:val="300"/>
        </w:trPr>
        <w:tc>
          <w:tcPr>
            <w:tcW w:w="0" w:type="auto"/>
            <w:tcBorders>
              <w:top w:val="nil"/>
              <w:left w:val="nil"/>
              <w:bottom w:val="nil"/>
              <w:right w:val="nil"/>
            </w:tcBorders>
            <w:shd w:val="clear" w:color="auto" w:fill="auto"/>
            <w:vAlign w:val="center"/>
            <w:hideMark/>
          </w:tcPr>
          <w:p w14:paraId="2B2BD8BB"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Finance income</w:t>
            </w:r>
          </w:p>
        </w:tc>
        <w:tc>
          <w:tcPr>
            <w:tcW w:w="0" w:type="auto"/>
            <w:tcBorders>
              <w:top w:val="nil"/>
              <w:left w:val="nil"/>
              <w:bottom w:val="nil"/>
              <w:right w:val="nil"/>
            </w:tcBorders>
            <w:shd w:val="clear" w:color="auto" w:fill="auto"/>
            <w:vAlign w:val="center"/>
            <w:hideMark/>
          </w:tcPr>
          <w:p w14:paraId="4C26572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(256)</w:t>
            </w:r>
          </w:p>
        </w:tc>
        <w:tc>
          <w:tcPr>
            <w:tcW w:w="0" w:type="auto"/>
            <w:tcBorders>
              <w:top w:val="nil"/>
              <w:left w:val="nil"/>
              <w:bottom w:val="nil"/>
              <w:right w:val="nil"/>
            </w:tcBorders>
            <w:shd w:val="clear" w:color="auto" w:fill="auto"/>
            <w:vAlign w:val="center"/>
            <w:hideMark/>
          </w:tcPr>
          <w:p w14:paraId="75EB19A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743563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w:t>
            </w:r>
          </w:p>
        </w:tc>
      </w:tr>
      <w:tr w:rsidR="00937254" w:rsidRPr="00937254" w14:paraId="1DD2865D" w14:textId="77777777" w:rsidTr="00937254">
        <w:trPr>
          <w:trHeight w:val="300"/>
        </w:trPr>
        <w:tc>
          <w:tcPr>
            <w:tcW w:w="0" w:type="auto"/>
            <w:tcBorders>
              <w:top w:val="nil"/>
              <w:left w:val="nil"/>
              <w:bottom w:val="nil"/>
              <w:right w:val="nil"/>
            </w:tcBorders>
            <w:shd w:val="clear" w:color="auto" w:fill="auto"/>
            <w:vAlign w:val="center"/>
            <w:hideMark/>
          </w:tcPr>
          <w:p w14:paraId="6FAEC64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Shares issued in lieu of fees</w:t>
            </w:r>
          </w:p>
        </w:tc>
        <w:tc>
          <w:tcPr>
            <w:tcW w:w="0" w:type="auto"/>
            <w:tcBorders>
              <w:top w:val="nil"/>
              <w:left w:val="nil"/>
              <w:bottom w:val="nil"/>
              <w:right w:val="nil"/>
            </w:tcBorders>
            <w:shd w:val="clear" w:color="auto" w:fill="auto"/>
            <w:vAlign w:val="center"/>
            <w:hideMark/>
          </w:tcPr>
          <w:p w14:paraId="1EF8F1F3"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(1,099,183)</w:t>
            </w:r>
          </w:p>
        </w:tc>
        <w:tc>
          <w:tcPr>
            <w:tcW w:w="0" w:type="auto"/>
            <w:tcBorders>
              <w:top w:val="nil"/>
              <w:left w:val="nil"/>
              <w:bottom w:val="nil"/>
              <w:right w:val="nil"/>
            </w:tcBorders>
            <w:shd w:val="clear" w:color="auto" w:fill="auto"/>
            <w:vAlign w:val="center"/>
            <w:hideMark/>
          </w:tcPr>
          <w:p w14:paraId="4F66C99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3551CA8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22C80A8F" w14:textId="77777777" w:rsidTr="00937254">
        <w:trPr>
          <w:trHeight w:val="300"/>
        </w:trPr>
        <w:tc>
          <w:tcPr>
            <w:tcW w:w="0" w:type="auto"/>
            <w:tcBorders>
              <w:top w:val="nil"/>
              <w:left w:val="nil"/>
              <w:bottom w:val="nil"/>
              <w:right w:val="nil"/>
            </w:tcBorders>
            <w:shd w:val="clear" w:color="auto" w:fill="auto"/>
            <w:vAlign w:val="center"/>
            <w:hideMark/>
          </w:tcPr>
          <w:p w14:paraId="30796CE9"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Share option expense</w:t>
            </w:r>
          </w:p>
        </w:tc>
        <w:tc>
          <w:tcPr>
            <w:tcW w:w="0" w:type="auto"/>
            <w:tcBorders>
              <w:top w:val="nil"/>
              <w:left w:val="nil"/>
              <w:bottom w:val="nil"/>
              <w:right w:val="nil"/>
            </w:tcBorders>
            <w:shd w:val="clear" w:color="auto" w:fill="auto"/>
            <w:vAlign w:val="center"/>
            <w:hideMark/>
          </w:tcPr>
          <w:p w14:paraId="3D53F94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126,364 </w:t>
            </w:r>
          </w:p>
        </w:tc>
        <w:tc>
          <w:tcPr>
            <w:tcW w:w="0" w:type="auto"/>
            <w:tcBorders>
              <w:top w:val="nil"/>
              <w:left w:val="nil"/>
              <w:bottom w:val="nil"/>
              <w:right w:val="nil"/>
            </w:tcBorders>
            <w:shd w:val="clear" w:color="auto" w:fill="auto"/>
            <w:vAlign w:val="center"/>
            <w:hideMark/>
          </w:tcPr>
          <w:p w14:paraId="598F732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F40C4B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12,453 </w:t>
            </w:r>
          </w:p>
        </w:tc>
      </w:tr>
      <w:tr w:rsidR="00937254" w:rsidRPr="00937254" w14:paraId="491D3978" w14:textId="77777777" w:rsidTr="00937254">
        <w:trPr>
          <w:trHeight w:val="315"/>
        </w:trPr>
        <w:tc>
          <w:tcPr>
            <w:tcW w:w="0" w:type="auto"/>
            <w:tcBorders>
              <w:top w:val="nil"/>
              <w:left w:val="nil"/>
              <w:bottom w:val="nil"/>
              <w:right w:val="nil"/>
            </w:tcBorders>
            <w:shd w:val="clear" w:color="auto" w:fill="auto"/>
            <w:vAlign w:val="center"/>
            <w:hideMark/>
          </w:tcPr>
          <w:p w14:paraId="6F49D48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Finance costs</w:t>
            </w:r>
          </w:p>
        </w:tc>
        <w:tc>
          <w:tcPr>
            <w:tcW w:w="0" w:type="auto"/>
            <w:tcBorders>
              <w:top w:val="nil"/>
              <w:left w:val="nil"/>
              <w:bottom w:val="single" w:sz="8" w:space="0" w:color="000000"/>
              <w:right w:val="nil"/>
            </w:tcBorders>
            <w:shd w:val="clear" w:color="auto" w:fill="auto"/>
            <w:vAlign w:val="center"/>
            <w:hideMark/>
          </w:tcPr>
          <w:p w14:paraId="7E6A60C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1,957,767 </w:t>
            </w:r>
          </w:p>
        </w:tc>
        <w:tc>
          <w:tcPr>
            <w:tcW w:w="0" w:type="auto"/>
            <w:tcBorders>
              <w:top w:val="nil"/>
              <w:left w:val="nil"/>
              <w:bottom w:val="nil"/>
              <w:right w:val="nil"/>
            </w:tcBorders>
            <w:shd w:val="clear" w:color="auto" w:fill="auto"/>
            <w:vAlign w:val="center"/>
            <w:hideMark/>
          </w:tcPr>
          <w:p w14:paraId="520FC5A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421F62C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1,231,046 </w:t>
            </w:r>
          </w:p>
        </w:tc>
      </w:tr>
      <w:tr w:rsidR="00937254" w:rsidRPr="00937254" w14:paraId="1049EB68" w14:textId="77777777" w:rsidTr="00937254">
        <w:trPr>
          <w:trHeight w:val="510"/>
        </w:trPr>
        <w:tc>
          <w:tcPr>
            <w:tcW w:w="0" w:type="auto"/>
            <w:tcBorders>
              <w:top w:val="nil"/>
              <w:left w:val="nil"/>
              <w:bottom w:val="nil"/>
              <w:right w:val="nil"/>
            </w:tcBorders>
            <w:shd w:val="clear" w:color="auto" w:fill="auto"/>
            <w:vAlign w:val="center"/>
            <w:hideMark/>
          </w:tcPr>
          <w:p w14:paraId="01328DE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Net cash (used in) continuing and discontinued operating activities</w:t>
            </w:r>
          </w:p>
        </w:tc>
        <w:tc>
          <w:tcPr>
            <w:tcW w:w="0" w:type="auto"/>
            <w:tcBorders>
              <w:top w:val="nil"/>
              <w:left w:val="nil"/>
              <w:bottom w:val="nil"/>
              <w:right w:val="nil"/>
            </w:tcBorders>
            <w:shd w:val="clear" w:color="auto" w:fill="auto"/>
            <w:vAlign w:val="center"/>
            <w:hideMark/>
          </w:tcPr>
          <w:p w14:paraId="0B79D00D" w14:textId="272855D8" w:rsidR="00937254" w:rsidRPr="00937254"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5,619,779)</w:t>
            </w:r>
          </w:p>
        </w:tc>
        <w:tc>
          <w:tcPr>
            <w:tcW w:w="0" w:type="auto"/>
            <w:tcBorders>
              <w:top w:val="nil"/>
              <w:left w:val="nil"/>
              <w:bottom w:val="nil"/>
              <w:right w:val="nil"/>
            </w:tcBorders>
            <w:shd w:val="clear" w:color="auto" w:fill="auto"/>
            <w:vAlign w:val="center"/>
            <w:hideMark/>
          </w:tcPr>
          <w:p w14:paraId="5B2F37FF"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3D841C99" w14:textId="77777777"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(4,487,745)</w:t>
            </w:r>
          </w:p>
        </w:tc>
      </w:tr>
      <w:tr w:rsidR="00937254" w:rsidRPr="00937254" w14:paraId="39CC7CC8" w14:textId="77777777" w:rsidTr="00937254">
        <w:trPr>
          <w:trHeight w:val="315"/>
        </w:trPr>
        <w:tc>
          <w:tcPr>
            <w:tcW w:w="0" w:type="auto"/>
            <w:tcBorders>
              <w:top w:val="nil"/>
              <w:left w:val="nil"/>
              <w:bottom w:val="nil"/>
              <w:right w:val="nil"/>
            </w:tcBorders>
            <w:shd w:val="clear" w:color="auto" w:fill="auto"/>
            <w:vAlign w:val="center"/>
            <w:hideMark/>
          </w:tcPr>
          <w:p w14:paraId="7ED8B5BE"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single" w:sz="8" w:space="0" w:color="000000"/>
              <w:right w:val="nil"/>
            </w:tcBorders>
            <w:shd w:val="clear" w:color="auto" w:fill="auto"/>
            <w:vAlign w:val="center"/>
            <w:hideMark/>
          </w:tcPr>
          <w:p w14:paraId="5AC1265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vAlign w:val="center"/>
            <w:hideMark/>
          </w:tcPr>
          <w:p w14:paraId="3EE9D72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2BF03921"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1B173637" w14:textId="77777777" w:rsidTr="00937254">
        <w:trPr>
          <w:trHeight w:val="300"/>
        </w:trPr>
        <w:tc>
          <w:tcPr>
            <w:tcW w:w="0" w:type="auto"/>
            <w:tcBorders>
              <w:top w:val="nil"/>
              <w:left w:val="nil"/>
              <w:bottom w:val="nil"/>
              <w:right w:val="nil"/>
            </w:tcBorders>
            <w:shd w:val="clear" w:color="auto" w:fill="auto"/>
            <w:vAlign w:val="center"/>
            <w:hideMark/>
          </w:tcPr>
          <w:p w14:paraId="74DBDDAB"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Investing activities</w:t>
            </w:r>
          </w:p>
        </w:tc>
        <w:tc>
          <w:tcPr>
            <w:tcW w:w="0" w:type="auto"/>
            <w:tcBorders>
              <w:top w:val="nil"/>
              <w:left w:val="nil"/>
              <w:bottom w:val="nil"/>
              <w:right w:val="nil"/>
            </w:tcBorders>
            <w:shd w:val="clear" w:color="auto" w:fill="auto"/>
            <w:vAlign w:val="center"/>
            <w:hideMark/>
          </w:tcPr>
          <w:p w14:paraId="31D3E13B"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287474D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6B439B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FE84475" w14:textId="77777777" w:rsidTr="00937254">
        <w:trPr>
          <w:trHeight w:val="510"/>
        </w:trPr>
        <w:tc>
          <w:tcPr>
            <w:tcW w:w="0" w:type="auto"/>
            <w:tcBorders>
              <w:top w:val="nil"/>
              <w:left w:val="nil"/>
              <w:bottom w:val="nil"/>
              <w:right w:val="nil"/>
            </w:tcBorders>
            <w:shd w:val="clear" w:color="auto" w:fill="auto"/>
            <w:vAlign w:val="center"/>
            <w:hideMark/>
          </w:tcPr>
          <w:p w14:paraId="6487A4CF"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Acquisitions of property plant and equipment</w:t>
            </w:r>
          </w:p>
        </w:tc>
        <w:tc>
          <w:tcPr>
            <w:tcW w:w="0" w:type="auto"/>
            <w:tcBorders>
              <w:top w:val="nil"/>
              <w:left w:val="nil"/>
              <w:bottom w:val="nil"/>
              <w:right w:val="nil"/>
            </w:tcBorders>
            <w:shd w:val="clear" w:color="auto" w:fill="auto"/>
            <w:vAlign w:val="center"/>
            <w:hideMark/>
          </w:tcPr>
          <w:p w14:paraId="42CA8851" w14:textId="06E7F086" w:rsidR="00937254" w:rsidRPr="00937254"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(12,775,288)</w:t>
            </w:r>
          </w:p>
        </w:tc>
        <w:tc>
          <w:tcPr>
            <w:tcW w:w="0" w:type="auto"/>
            <w:tcBorders>
              <w:top w:val="nil"/>
              <w:left w:val="nil"/>
              <w:bottom w:val="nil"/>
              <w:right w:val="nil"/>
            </w:tcBorders>
            <w:shd w:val="clear" w:color="auto" w:fill="auto"/>
            <w:vAlign w:val="center"/>
            <w:hideMark/>
          </w:tcPr>
          <w:p w14:paraId="6EDC7393"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1A4ABAAD" w14:textId="77777777"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(5,776,709)</w:t>
            </w:r>
          </w:p>
        </w:tc>
      </w:tr>
      <w:tr w:rsidR="00937254" w:rsidRPr="00937254" w14:paraId="445CBF47" w14:textId="77777777" w:rsidTr="00937254">
        <w:trPr>
          <w:trHeight w:val="300"/>
        </w:trPr>
        <w:tc>
          <w:tcPr>
            <w:tcW w:w="0" w:type="auto"/>
            <w:tcBorders>
              <w:top w:val="nil"/>
              <w:left w:val="nil"/>
              <w:bottom w:val="nil"/>
              <w:right w:val="nil"/>
            </w:tcBorders>
            <w:shd w:val="clear" w:color="auto" w:fill="auto"/>
            <w:vAlign w:val="center"/>
            <w:hideMark/>
          </w:tcPr>
          <w:p w14:paraId="4C970C8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Acquisitions of intangible assets</w:t>
            </w:r>
          </w:p>
        </w:tc>
        <w:tc>
          <w:tcPr>
            <w:tcW w:w="0" w:type="auto"/>
            <w:tcBorders>
              <w:top w:val="nil"/>
              <w:left w:val="nil"/>
              <w:bottom w:val="nil"/>
              <w:right w:val="nil"/>
            </w:tcBorders>
            <w:shd w:val="clear" w:color="auto" w:fill="auto"/>
            <w:vAlign w:val="center"/>
            <w:hideMark/>
          </w:tcPr>
          <w:p w14:paraId="59C87095" w14:textId="0B03063F" w:rsidR="00937254" w:rsidRPr="00937254"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625,996)</w:t>
            </w:r>
          </w:p>
        </w:tc>
        <w:tc>
          <w:tcPr>
            <w:tcW w:w="0" w:type="auto"/>
            <w:tcBorders>
              <w:top w:val="nil"/>
              <w:left w:val="nil"/>
              <w:bottom w:val="nil"/>
              <w:right w:val="nil"/>
            </w:tcBorders>
            <w:shd w:val="clear" w:color="auto" w:fill="auto"/>
            <w:vAlign w:val="center"/>
            <w:hideMark/>
          </w:tcPr>
          <w:p w14:paraId="7993E04A"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391060C2" w14:textId="77777777"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(1,030,043)</w:t>
            </w:r>
          </w:p>
        </w:tc>
      </w:tr>
      <w:tr w:rsidR="00937254" w:rsidRPr="00937254" w14:paraId="07DD1E47" w14:textId="77777777" w:rsidTr="00937254">
        <w:trPr>
          <w:trHeight w:val="300"/>
        </w:trPr>
        <w:tc>
          <w:tcPr>
            <w:tcW w:w="0" w:type="auto"/>
            <w:tcBorders>
              <w:top w:val="nil"/>
              <w:left w:val="nil"/>
              <w:bottom w:val="nil"/>
              <w:right w:val="nil"/>
            </w:tcBorders>
            <w:shd w:val="clear" w:color="auto" w:fill="auto"/>
            <w:vAlign w:val="center"/>
            <w:hideMark/>
          </w:tcPr>
          <w:p w14:paraId="15ECAFBA" w14:textId="77777777" w:rsidR="00687C0A" w:rsidRDefault="00687C0A" w:rsidP="00937254">
            <w:pPr>
              <w:widowControl/>
              <w:autoSpaceDE/>
              <w:autoSpaceDN/>
              <w:rPr>
                <w:rFonts w:ascii="Arial" w:eastAsia="Times New Roman" w:hAnsi="Arial" w:cs="Arial"/>
                <w:color w:val="000000"/>
                <w:sz w:val="20"/>
                <w:szCs w:val="20"/>
                <w:lang w:bidi="ar-SA"/>
              </w:rPr>
            </w:pPr>
          </w:p>
          <w:p w14:paraId="3522E79A" w14:textId="0E134FE5"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Grants received in advance</w:t>
            </w:r>
          </w:p>
        </w:tc>
        <w:tc>
          <w:tcPr>
            <w:tcW w:w="0" w:type="auto"/>
            <w:tcBorders>
              <w:top w:val="nil"/>
              <w:left w:val="nil"/>
              <w:bottom w:val="nil"/>
              <w:right w:val="nil"/>
            </w:tcBorders>
            <w:shd w:val="clear" w:color="auto" w:fill="auto"/>
            <w:vAlign w:val="center"/>
            <w:hideMark/>
          </w:tcPr>
          <w:p w14:paraId="06B728BB" w14:textId="77777777" w:rsidR="00687C0A"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w:t>
            </w:r>
          </w:p>
          <w:p w14:paraId="171BCC80" w14:textId="341E3A81"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   </w:t>
            </w:r>
          </w:p>
        </w:tc>
        <w:tc>
          <w:tcPr>
            <w:tcW w:w="0" w:type="auto"/>
            <w:tcBorders>
              <w:top w:val="nil"/>
              <w:left w:val="nil"/>
              <w:bottom w:val="nil"/>
              <w:right w:val="nil"/>
            </w:tcBorders>
            <w:shd w:val="clear" w:color="auto" w:fill="auto"/>
            <w:vAlign w:val="center"/>
            <w:hideMark/>
          </w:tcPr>
          <w:p w14:paraId="2080FDE7"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0F9951A0" w14:textId="7A322A4F"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1,130,149 </w:t>
            </w:r>
          </w:p>
        </w:tc>
      </w:tr>
      <w:tr w:rsidR="00937254" w:rsidRPr="00937254" w14:paraId="0ED57BFF" w14:textId="77777777" w:rsidTr="00937254">
        <w:trPr>
          <w:trHeight w:val="315"/>
        </w:trPr>
        <w:tc>
          <w:tcPr>
            <w:tcW w:w="0" w:type="auto"/>
            <w:tcBorders>
              <w:top w:val="nil"/>
              <w:left w:val="nil"/>
              <w:bottom w:val="nil"/>
              <w:right w:val="nil"/>
            </w:tcBorders>
            <w:shd w:val="clear" w:color="auto" w:fill="auto"/>
            <w:hideMark/>
          </w:tcPr>
          <w:p w14:paraId="48DF3148"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single" w:sz="8" w:space="0" w:color="000000"/>
              <w:right w:val="nil"/>
            </w:tcBorders>
            <w:shd w:val="clear" w:color="auto" w:fill="auto"/>
            <w:vAlign w:val="center"/>
            <w:hideMark/>
          </w:tcPr>
          <w:p w14:paraId="3572666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vAlign w:val="center"/>
            <w:hideMark/>
          </w:tcPr>
          <w:p w14:paraId="00D06A8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56943581"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4EF822C2" w14:textId="77777777" w:rsidTr="00937254">
        <w:trPr>
          <w:trHeight w:val="510"/>
        </w:trPr>
        <w:tc>
          <w:tcPr>
            <w:tcW w:w="0" w:type="auto"/>
            <w:tcBorders>
              <w:top w:val="nil"/>
              <w:left w:val="nil"/>
              <w:bottom w:val="nil"/>
              <w:right w:val="nil"/>
            </w:tcBorders>
            <w:shd w:val="clear" w:color="auto" w:fill="auto"/>
            <w:vAlign w:val="center"/>
            <w:hideMark/>
          </w:tcPr>
          <w:p w14:paraId="2F02945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Net cash (used in) generated from investing activities</w:t>
            </w:r>
          </w:p>
        </w:tc>
        <w:tc>
          <w:tcPr>
            <w:tcW w:w="0" w:type="auto"/>
            <w:tcBorders>
              <w:top w:val="nil"/>
              <w:left w:val="nil"/>
              <w:bottom w:val="nil"/>
              <w:right w:val="nil"/>
            </w:tcBorders>
            <w:shd w:val="clear" w:color="auto" w:fill="auto"/>
            <w:vAlign w:val="center"/>
            <w:hideMark/>
          </w:tcPr>
          <w:p w14:paraId="1100C77D" w14:textId="77777777" w:rsidR="00937254" w:rsidRPr="00937254"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(13,401,285)</w:t>
            </w:r>
          </w:p>
        </w:tc>
        <w:tc>
          <w:tcPr>
            <w:tcW w:w="0" w:type="auto"/>
            <w:tcBorders>
              <w:top w:val="nil"/>
              <w:left w:val="nil"/>
              <w:bottom w:val="nil"/>
              <w:right w:val="nil"/>
            </w:tcBorders>
            <w:shd w:val="clear" w:color="auto" w:fill="auto"/>
            <w:vAlign w:val="center"/>
            <w:hideMark/>
          </w:tcPr>
          <w:p w14:paraId="65F1B4A4"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04ABD432" w14:textId="77777777"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(5,676,603)</w:t>
            </w:r>
          </w:p>
        </w:tc>
      </w:tr>
      <w:tr w:rsidR="00937254" w:rsidRPr="00937254" w14:paraId="1558317D" w14:textId="77777777" w:rsidTr="00937254">
        <w:trPr>
          <w:trHeight w:val="315"/>
        </w:trPr>
        <w:tc>
          <w:tcPr>
            <w:tcW w:w="0" w:type="auto"/>
            <w:tcBorders>
              <w:top w:val="nil"/>
              <w:left w:val="nil"/>
              <w:bottom w:val="nil"/>
              <w:right w:val="nil"/>
            </w:tcBorders>
            <w:shd w:val="clear" w:color="auto" w:fill="auto"/>
            <w:vAlign w:val="center"/>
            <w:hideMark/>
          </w:tcPr>
          <w:p w14:paraId="205A46D8"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single" w:sz="8" w:space="0" w:color="000000"/>
              <w:right w:val="nil"/>
            </w:tcBorders>
            <w:shd w:val="clear" w:color="auto" w:fill="auto"/>
            <w:vAlign w:val="center"/>
            <w:hideMark/>
          </w:tcPr>
          <w:p w14:paraId="425C823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vAlign w:val="center"/>
            <w:hideMark/>
          </w:tcPr>
          <w:p w14:paraId="71FB74B4"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56B9149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10DD065B" w14:textId="77777777" w:rsidTr="00937254">
        <w:trPr>
          <w:trHeight w:val="300"/>
        </w:trPr>
        <w:tc>
          <w:tcPr>
            <w:tcW w:w="0" w:type="auto"/>
            <w:tcBorders>
              <w:top w:val="nil"/>
              <w:left w:val="nil"/>
              <w:bottom w:val="nil"/>
              <w:right w:val="nil"/>
            </w:tcBorders>
            <w:shd w:val="clear" w:color="auto" w:fill="auto"/>
            <w:vAlign w:val="center"/>
            <w:hideMark/>
          </w:tcPr>
          <w:p w14:paraId="736F3E35"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Financing activities</w:t>
            </w:r>
          </w:p>
        </w:tc>
        <w:tc>
          <w:tcPr>
            <w:tcW w:w="0" w:type="auto"/>
            <w:tcBorders>
              <w:top w:val="nil"/>
              <w:left w:val="nil"/>
              <w:bottom w:val="nil"/>
              <w:right w:val="nil"/>
            </w:tcBorders>
            <w:shd w:val="clear" w:color="auto" w:fill="auto"/>
            <w:vAlign w:val="center"/>
            <w:hideMark/>
          </w:tcPr>
          <w:p w14:paraId="0DB2612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0F44FBC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647C553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1ABCA2D" w14:textId="77777777" w:rsidTr="00937254">
        <w:trPr>
          <w:trHeight w:val="510"/>
        </w:trPr>
        <w:tc>
          <w:tcPr>
            <w:tcW w:w="0" w:type="auto"/>
            <w:tcBorders>
              <w:top w:val="nil"/>
              <w:left w:val="nil"/>
              <w:bottom w:val="nil"/>
              <w:right w:val="nil"/>
            </w:tcBorders>
            <w:shd w:val="clear" w:color="auto" w:fill="auto"/>
            <w:vAlign w:val="center"/>
            <w:hideMark/>
          </w:tcPr>
          <w:p w14:paraId="0A49847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Proceeds on issue of ordinary shares</w:t>
            </w:r>
          </w:p>
        </w:tc>
        <w:tc>
          <w:tcPr>
            <w:tcW w:w="0" w:type="auto"/>
            <w:tcBorders>
              <w:top w:val="nil"/>
              <w:left w:val="nil"/>
              <w:bottom w:val="nil"/>
              <w:right w:val="nil"/>
            </w:tcBorders>
            <w:shd w:val="clear" w:color="auto" w:fill="auto"/>
            <w:vAlign w:val="center"/>
            <w:hideMark/>
          </w:tcPr>
          <w:p w14:paraId="416B6D92" w14:textId="718E1201"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19,640,495 </w:t>
            </w:r>
          </w:p>
        </w:tc>
        <w:tc>
          <w:tcPr>
            <w:tcW w:w="0" w:type="auto"/>
            <w:tcBorders>
              <w:top w:val="nil"/>
              <w:left w:val="nil"/>
              <w:bottom w:val="nil"/>
              <w:right w:val="nil"/>
            </w:tcBorders>
            <w:shd w:val="clear" w:color="auto" w:fill="auto"/>
            <w:vAlign w:val="center"/>
            <w:hideMark/>
          </w:tcPr>
          <w:p w14:paraId="5157578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1EC68A13" w14:textId="6D6A920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15,503,396 </w:t>
            </w:r>
          </w:p>
        </w:tc>
      </w:tr>
      <w:tr w:rsidR="00937254" w:rsidRPr="00937254" w14:paraId="507F76F7" w14:textId="77777777" w:rsidTr="00937254">
        <w:trPr>
          <w:trHeight w:val="300"/>
        </w:trPr>
        <w:tc>
          <w:tcPr>
            <w:tcW w:w="0" w:type="auto"/>
            <w:tcBorders>
              <w:top w:val="nil"/>
              <w:left w:val="nil"/>
              <w:bottom w:val="nil"/>
              <w:right w:val="nil"/>
            </w:tcBorders>
            <w:shd w:val="clear" w:color="auto" w:fill="auto"/>
            <w:vAlign w:val="center"/>
            <w:hideMark/>
          </w:tcPr>
          <w:p w14:paraId="767800ED"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Proceeds from warrant exercise</w:t>
            </w:r>
          </w:p>
        </w:tc>
        <w:tc>
          <w:tcPr>
            <w:tcW w:w="0" w:type="auto"/>
            <w:tcBorders>
              <w:top w:val="nil"/>
              <w:left w:val="nil"/>
              <w:bottom w:val="nil"/>
              <w:right w:val="nil"/>
            </w:tcBorders>
            <w:shd w:val="clear" w:color="auto" w:fill="auto"/>
            <w:vAlign w:val="center"/>
            <w:hideMark/>
          </w:tcPr>
          <w:p w14:paraId="74C8897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c>
          <w:tcPr>
            <w:tcW w:w="0" w:type="auto"/>
            <w:tcBorders>
              <w:top w:val="nil"/>
              <w:left w:val="nil"/>
              <w:bottom w:val="nil"/>
              <w:right w:val="nil"/>
            </w:tcBorders>
            <w:shd w:val="clear" w:color="auto" w:fill="auto"/>
            <w:vAlign w:val="center"/>
            <w:hideMark/>
          </w:tcPr>
          <w:p w14:paraId="4C4EA6B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05ED0DE" w14:textId="06374E3D"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66E6C7FC" w14:textId="77777777" w:rsidTr="00937254">
        <w:trPr>
          <w:trHeight w:val="300"/>
        </w:trPr>
        <w:tc>
          <w:tcPr>
            <w:tcW w:w="0" w:type="auto"/>
            <w:tcBorders>
              <w:top w:val="nil"/>
              <w:left w:val="nil"/>
              <w:bottom w:val="nil"/>
              <w:right w:val="nil"/>
            </w:tcBorders>
            <w:shd w:val="clear" w:color="auto" w:fill="auto"/>
            <w:vAlign w:val="center"/>
            <w:hideMark/>
          </w:tcPr>
          <w:p w14:paraId="4503C2E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Interest received</w:t>
            </w:r>
          </w:p>
        </w:tc>
        <w:tc>
          <w:tcPr>
            <w:tcW w:w="0" w:type="auto"/>
            <w:tcBorders>
              <w:top w:val="nil"/>
              <w:left w:val="nil"/>
              <w:bottom w:val="nil"/>
              <w:right w:val="nil"/>
            </w:tcBorders>
            <w:shd w:val="clear" w:color="auto" w:fill="auto"/>
            <w:vAlign w:val="center"/>
            <w:hideMark/>
          </w:tcPr>
          <w:p w14:paraId="3C59636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256 </w:t>
            </w:r>
          </w:p>
        </w:tc>
        <w:tc>
          <w:tcPr>
            <w:tcW w:w="0" w:type="auto"/>
            <w:tcBorders>
              <w:top w:val="nil"/>
              <w:left w:val="nil"/>
              <w:bottom w:val="nil"/>
              <w:right w:val="nil"/>
            </w:tcBorders>
            <w:shd w:val="clear" w:color="auto" w:fill="auto"/>
            <w:vAlign w:val="center"/>
            <w:hideMark/>
          </w:tcPr>
          <w:p w14:paraId="4C480CF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03261456" w14:textId="17AD3BA4"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 </w:t>
            </w:r>
          </w:p>
        </w:tc>
      </w:tr>
      <w:tr w:rsidR="00937254" w:rsidRPr="00937254" w14:paraId="4B6A68FD" w14:textId="77777777" w:rsidTr="00937254">
        <w:trPr>
          <w:trHeight w:val="300"/>
        </w:trPr>
        <w:tc>
          <w:tcPr>
            <w:tcW w:w="0" w:type="auto"/>
            <w:tcBorders>
              <w:top w:val="nil"/>
              <w:left w:val="nil"/>
              <w:bottom w:val="nil"/>
              <w:right w:val="nil"/>
            </w:tcBorders>
            <w:shd w:val="clear" w:color="auto" w:fill="auto"/>
            <w:vAlign w:val="center"/>
            <w:hideMark/>
          </w:tcPr>
          <w:p w14:paraId="3E92F6D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Interest paid</w:t>
            </w:r>
          </w:p>
        </w:tc>
        <w:tc>
          <w:tcPr>
            <w:tcW w:w="0" w:type="auto"/>
            <w:tcBorders>
              <w:top w:val="nil"/>
              <w:left w:val="nil"/>
              <w:bottom w:val="nil"/>
              <w:right w:val="nil"/>
            </w:tcBorders>
            <w:shd w:val="clear" w:color="auto" w:fill="auto"/>
            <w:vAlign w:val="center"/>
            <w:hideMark/>
          </w:tcPr>
          <w:p w14:paraId="2714CDA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(457,916)</w:t>
            </w:r>
          </w:p>
        </w:tc>
        <w:tc>
          <w:tcPr>
            <w:tcW w:w="0" w:type="auto"/>
            <w:tcBorders>
              <w:top w:val="nil"/>
              <w:left w:val="nil"/>
              <w:bottom w:val="nil"/>
              <w:right w:val="nil"/>
            </w:tcBorders>
            <w:shd w:val="clear" w:color="auto" w:fill="auto"/>
            <w:vAlign w:val="center"/>
            <w:hideMark/>
          </w:tcPr>
          <w:p w14:paraId="642366C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3D2B911A"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(379,588)</w:t>
            </w:r>
          </w:p>
        </w:tc>
      </w:tr>
      <w:tr w:rsidR="00937254" w:rsidRPr="00937254" w14:paraId="077250B5" w14:textId="77777777" w:rsidTr="00937254">
        <w:trPr>
          <w:trHeight w:val="510"/>
        </w:trPr>
        <w:tc>
          <w:tcPr>
            <w:tcW w:w="0" w:type="auto"/>
            <w:tcBorders>
              <w:top w:val="nil"/>
              <w:left w:val="nil"/>
              <w:bottom w:val="nil"/>
              <w:right w:val="nil"/>
            </w:tcBorders>
            <w:shd w:val="clear" w:color="auto" w:fill="auto"/>
            <w:vAlign w:val="center"/>
            <w:hideMark/>
          </w:tcPr>
          <w:p w14:paraId="4C4A83E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lastRenderedPageBreak/>
              <w:t>Repayment of borrowings &amp; lease liabilities</w:t>
            </w:r>
          </w:p>
        </w:tc>
        <w:tc>
          <w:tcPr>
            <w:tcW w:w="0" w:type="auto"/>
            <w:tcBorders>
              <w:top w:val="nil"/>
              <w:left w:val="nil"/>
              <w:bottom w:val="nil"/>
              <w:right w:val="nil"/>
            </w:tcBorders>
            <w:shd w:val="clear" w:color="auto" w:fill="auto"/>
            <w:vAlign w:val="center"/>
            <w:hideMark/>
          </w:tcPr>
          <w:p w14:paraId="61B2440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(1,087,616)</w:t>
            </w:r>
          </w:p>
        </w:tc>
        <w:tc>
          <w:tcPr>
            <w:tcW w:w="0" w:type="auto"/>
            <w:tcBorders>
              <w:top w:val="nil"/>
              <w:left w:val="nil"/>
              <w:bottom w:val="nil"/>
              <w:right w:val="nil"/>
            </w:tcBorders>
            <w:shd w:val="clear" w:color="auto" w:fill="auto"/>
            <w:vAlign w:val="center"/>
            <w:hideMark/>
          </w:tcPr>
          <w:p w14:paraId="0EE7981C"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65C3110F"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(1,245,041)</w:t>
            </w:r>
          </w:p>
        </w:tc>
      </w:tr>
      <w:tr w:rsidR="00937254" w:rsidRPr="00937254" w14:paraId="0D97B3A9" w14:textId="77777777" w:rsidTr="00937254">
        <w:trPr>
          <w:trHeight w:val="300"/>
        </w:trPr>
        <w:tc>
          <w:tcPr>
            <w:tcW w:w="0" w:type="auto"/>
            <w:tcBorders>
              <w:top w:val="nil"/>
              <w:left w:val="nil"/>
              <w:bottom w:val="nil"/>
              <w:right w:val="nil"/>
            </w:tcBorders>
            <w:shd w:val="clear" w:color="auto" w:fill="auto"/>
            <w:vAlign w:val="center"/>
            <w:hideMark/>
          </w:tcPr>
          <w:p w14:paraId="478EE494"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Short term borrowing</w:t>
            </w:r>
          </w:p>
        </w:tc>
        <w:tc>
          <w:tcPr>
            <w:tcW w:w="0" w:type="auto"/>
            <w:tcBorders>
              <w:top w:val="nil"/>
              <w:left w:val="nil"/>
              <w:bottom w:val="nil"/>
              <w:right w:val="nil"/>
            </w:tcBorders>
            <w:shd w:val="clear" w:color="auto" w:fill="auto"/>
            <w:vAlign w:val="center"/>
            <w:hideMark/>
          </w:tcPr>
          <w:p w14:paraId="4FE3DDC7"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(959,594)</w:t>
            </w:r>
          </w:p>
        </w:tc>
        <w:tc>
          <w:tcPr>
            <w:tcW w:w="0" w:type="auto"/>
            <w:tcBorders>
              <w:top w:val="nil"/>
              <w:left w:val="nil"/>
              <w:bottom w:val="nil"/>
              <w:right w:val="nil"/>
            </w:tcBorders>
            <w:shd w:val="clear" w:color="auto" w:fill="auto"/>
            <w:vAlign w:val="center"/>
            <w:hideMark/>
          </w:tcPr>
          <w:p w14:paraId="73BFF73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67C6767"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908,560 </w:t>
            </w:r>
          </w:p>
        </w:tc>
      </w:tr>
      <w:tr w:rsidR="00937254" w:rsidRPr="00937254" w14:paraId="5ED836DA" w14:textId="77777777" w:rsidTr="00937254">
        <w:trPr>
          <w:trHeight w:val="315"/>
        </w:trPr>
        <w:tc>
          <w:tcPr>
            <w:tcW w:w="0" w:type="auto"/>
            <w:tcBorders>
              <w:top w:val="nil"/>
              <w:left w:val="nil"/>
              <w:bottom w:val="nil"/>
              <w:right w:val="nil"/>
            </w:tcBorders>
            <w:shd w:val="clear" w:color="auto" w:fill="auto"/>
            <w:vAlign w:val="center"/>
            <w:hideMark/>
          </w:tcPr>
          <w:p w14:paraId="0FD41AB0"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Long term borrowing</w:t>
            </w:r>
          </w:p>
        </w:tc>
        <w:tc>
          <w:tcPr>
            <w:tcW w:w="0" w:type="auto"/>
            <w:tcBorders>
              <w:top w:val="nil"/>
              <w:left w:val="nil"/>
              <w:bottom w:val="single" w:sz="8" w:space="0" w:color="000000"/>
              <w:right w:val="nil"/>
            </w:tcBorders>
            <w:shd w:val="clear" w:color="auto" w:fill="auto"/>
            <w:vAlign w:val="center"/>
            <w:hideMark/>
          </w:tcPr>
          <w:p w14:paraId="57107F9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c>
          <w:tcPr>
            <w:tcW w:w="0" w:type="auto"/>
            <w:tcBorders>
              <w:top w:val="nil"/>
              <w:left w:val="nil"/>
              <w:bottom w:val="nil"/>
              <w:right w:val="nil"/>
            </w:tcBorders>
            <w:shd w:val="clear" w:color="auto" w:fill="auto"/>
            <w:vAlign w:val="center"/>
            <w:hideMark/>
          </w:tcPr>
          <w:p w14:paraId="2EFACF4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66EE4BA0"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2,090,000 </w:t>
            </w:r>
          </w:p>
        </w:tc>
      </w:tr>
      <w:tr w:rsidR="00937254" w:rsidRPr="00937254" w14:paraId="6B8C17DB" w14:textId="77777777" w:rsidTr="00937254">
        <w:trPr>
          <w:trHeight w:val="510"/>
        </w:trPr>
        <w:tc>
          <w:tcPr>
            <w:tcW w:w="0" w:type="auto"/>
            <w:tcBorders>
              <w:top w:val="nil"/>
              <w:left w:val="nil"/>
              <w:bottom w:val="nil"/>
              <w:right w:val="nil"/>
            </w:tcBorders>
            <w:shd w:val="clear" w:color="auto" w:fill="auto"/>
            <w:vAlign w:val="center"/>
            <w:hideMark/>
          </w:tcPr>
          <w:p w14:paraId="27BD4175"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Net cash generated from (used in) financing activities</w:t>
            </w:r>
          </w:p>
        </w:tc>
        <w:tc>
          <w:tcPr>
            <w:tcW w:w="0" w:type="auto"/>
            <w:tcBorders>
              <w:top w:val="nil"/>
              <w:left w:val="nil"/>
              <w:bottom w:val="nil"/>
              <w:right w:val="nil"/>
            </w:tcBorders>
            <w:shd w:val="clear" w:color="auto" w:fill="auto"/>
            <w:vAlign w:val="center"/>
            <w:hideMark/>
          </w:tcPr>
          <w:p w14:paraId="2284ED70" w14:textId="77777777" w:rsidR="00937254" w:rsidRPr="00937254" w:rsidRDefault="00937254" w:rsidP="00937254">
            <w:pPr>
              <w:widowControl/>
              <w:autoSpaceDE/>
              <w:autoSpaceDN/>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17,135,624 </w:t>
            </w:r>
          </w:p>
        </w:tc>
        <w:tc>
          <w:tcPr>
            <w:tcW w:w="0" w:type="auto"/>
            <w:tcBorders>
              <w:top w:val="nil"/>
              <w:left w:val="nil"/>
              <w:bottom w:val="nil"/>
              <w:right w:val="nil"/>
            </w:tcBorders>
            <w:shd w:val="clear" w:color="auto" w:fill="auto"/>
            <w:vAlign w:val="center"/>
            <w:hideMark/>
          </w:tcPr>
          <w:p w14:paraId="6095A38C"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nil"/>
              <w:right w:val="nil"/>
            </w:tcBorders>
            <w:shd w:val="clear" w:color="auto" w:fill="auto"/>
            <w:vAlign w:val="center"/>
            <w:hideMark/>
          </w:tcPr>
          <w:p w14:paraId="67B02519" w14:textId="77777777" w:rsidR="00937254" w:rsidRPr="00937254" w:rsidRDefault="00937254" w:rsidP="00687C0A">
            <w:pPr>
              <w:widowControl/>
              <w:autoSpaceDE/>
              <w:autoSpaceDN/>
              <w:jc w:val="right"/>
              <w:rPr>
                <w:rFonts w:ascii="Arial" w:eastAsia="Times New Roman" w:hAnsi="Arial" w:cs="Arial"/>
                <w:color w:val="000000"/>
                <w:sz w:val="19"/>
                <w:szCs w:val="19"/>
                <w:lang w:bidi="ar-SA"/>
              </w:rPr>
            </w:pPr>
            <w:r w:rsidRPr="00937254">
              <w:rPr>
                <w:rFonts w:ascii="Arial" w:eastAsia="Times New Roman" w:hAnsi="Arial" w:cs="Arial"/>
                <w:color w:val="000000"/>
                <w:sz w:val="19"/>
                <w:szCs w:val="19"/>
                <w:lang w:bidi="ar-SA"/>
              </w:rPr>
              <w:t xml:space="preserve">           16,877,332 </w:t>
            </w:r>
          </w:p>
        </w:tc>
      </w:tr>
      <w:tr w:rsidR="00937254" w:rsidRPr="00937254" w14:paraId="78457B20" w14:textId="77777777" w:rsidTr="00937254">
        <w:trPr>
          <w:trHeight w:val="315"/>
        </w:trPr>
        <w:tc>
          <w:tcPr>
            <w:tcW w:w="0" w:type="auto"/>
            <w:tcBorders>
              <w:top w:val="nil"/>
              <w:left w:val="nil"/>
              <w:bottom w:val="nil"/>
              <w:right w:val="nil"/>
            </w:tcBorders>
            <w:shd w:val="clear" w:color="auto" w:fill="auto"/>
            <w:vAlign w:val="center"/>
            <w:hideMark/>
          </w:tcPr>
          <w:p w14:paraId="787C1C59" w14:textId="77777777" w:rsidR="00937254" w:rsidRPr="00937254" w:rsidRDefault="00937254" w:rsidP="00937254">
            <w:pPr>
              <w:widowControl/>
              <w:autoSpaceDE/>
              <w:autoSpaceDN/>
              <w:rPr>
                <w:rFonts w:ascii="Arial" w:eastAsia="Times New Roman" w:hAnsi="Arial" w:cs="Arial"/>
                <w:color w:val="000000"/>
                <w:sz w:val="19"/>
                <w:szCs w:val="19"/>
                <w:lang w:bidi="ar-SA"/>
              </w:rPr>
            </w:pPr>
          </w:p>
        </w:tc>
        <w:tc>
          <w:tcPr>
            <w:tcW w:w="0" w:type="auto"/>
            <w:tcBorders>
              <w:top w:val="nil"/>
              <w:left w:val="nil"/>
              <w:bottom w:val="single" w:sz="8" w:space="0" w:color="000000"/>
              <w:right w:val="nil"/>
            </w:tcBorders>
            <w:shd w:val="clear" w:color="auto" w:fill="auto"/>
            <w:vAlign w:val="center"/>
            <w:hideMark/>
          </w:tcPr>
          <w:p w14:paraId="4C5882D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vAlign w:val="center"/>
            <w:hideMark/>
          </w:tcPr>
          <w:p w14:paraId="7AA012F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6A05B6DF"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5C61DEEA" w14:textId="77777777" w:rsidTr="00937254">
        <w:trPr>
          <w:trHeight w:val="300"/>
        </w:trPr>
        <w:tc>
          <w:tcPr>
            <w:tcW w:w="0" w:type="auto"/>
            <w:tcBorders>
              <w:top w:val="nil"/>
              <w:left w:val="nil"/>
              <w:bottom w:val="nil"/>
              <w:right w:val="nil"/>
            </w:tcBorders>
            <w:shd w:val="clear" w:color="auto" w:fill="auto"/>
            <w:vAlign w:val="center"/>
            <w:hideMark/>
          </w:tcPr>
          <w:p w14:paraId="1C916CF8"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120E20C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30BBB4C"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341D200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631435D6" w14:textId="77777777" w:rsidTr="00937254">
        <w:trPr>
          <w:trHeight w:val="510"/>
        </w:trPr>
        <w:tc>
          <w:tcPr>
            <w:tcW w:w="0" w:type="auto"/>
            <w:tcBorders>
              <w:top w:val="nil"/>
              <w:left w:val="nil"/>
              <w:bottom w:val="nil"/>
              <w:right w:val="nil"/>
            </w:tcBorders>
            <w:shd w:val="clear" w:color="auto" w:fill="auto"/>
            <w:vAlign w:val="center"/>
            <w:hideMark/>
          </w:tcPr>
          <w:p w14:paraId="31B1B051"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Net increase (decrease) in cash and cash equivalents</w:t>
            </w:r>
          </w:p>
        </w:tc>
        <w:tc>
          <w:tcPr>
            <w:tcW w:w="0" w:type="auto"/>
            <w:tcBorders>
              <w:top w:val="nil"/>
              <w:left w:val="nil"/>
              <w:bottom w:val="nil"/>
              <w:right w:val="nil"/>
            </w:tcBorders>
            <w:shd w:val="clear" w:color="auto" w:fill="auto"/>
            <w:vAlign w:val="center"/>
            <w:hideMark/>
          </w:tcPr>
          <w:p w14:paraId="08C5F031"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(1,885,439)</w:t>
            </w:r>
          </w:p>
        </w:tc>
        <w:tc>
          <w:tcPr>
            <w:tcW w:w="0" w:type="auto"/>
            <w:tcBorders>
              <w:top w:val="nil"/>
              <w:left w:val="nil"/>
              <w:bottom w:val="nil"/>
              <w:right w:val="nil"/>
            </w:tcBorders>
            <w:shd w:val="clear" w:color="auto" w:fill="auto"/>
            <w:vAlign w:val="center"/>
            <w:hideMark/>
          </w:tcPr>
          <w:p w14:paraId="2C9C3655"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2C8B2937" w14:textId="77777777" w:rsidR="00687C0A"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w:t>
            </w:r>
          </w:p>
          <w:p w14:paraId="7FDD2CFF" w14:textId="28FA7C9C"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6,712,984 </w:t>
            </w:r>
          </w:p>
        </w:tc>
      </w:tr>
      <w:tr w:rsidR="00937254" w:rsidRPr="00937254" w14:paraId="682235AC" w14:textId="77777777" w:rsidTr="00937254">
        <w:trPr>
          <w:trHeight w:val="510"/>
        </w:trPr>
        <w:tc>
          <w:tcPr>
            <w:tcW w:w="0" w:type="auto"/>
            <w:tcBorders>
              <w:top w:val="nil"/>
              <w:left w:val="nil"/>
              <w:bottom w:val="nil"/>
              <w:right w:val="nil"/>
            </w:tcBorders>
            <w:shd w:val="clear" w:color="auto" w:fill="auto"/>
            <w:vAlign w:val="center"/>
            <w:hideMark/>
          </w:tcPr>
          <w:p w14:paraId="19622EAF"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Cash and cash equivalents at beginning of period</w:t>
            </w:r>
          </w:p>
        </w:tc>
        <w:tc>
          <w:tcPr>
            <w:tcW w:w="0" w:type="auto"/>
            <w:tcBorders>
              <w:top w:val="nil"/>
              <w:left w:val="nil"/>
              <w:bottom w:val="nil"/>
              <w:right w:val="nil"/>
            </w:tcBorders>
            <w:shd w:val="clear" w:color="auto" w:fill="auto"/>
            <w:vAlign w:val="center"/>
            <w:hideMark/>
          </w:tcPr>
          <w:p w14:paraId="66A59E2D" w14:textId="77777777"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6,723,232 </w:t>
            </w:r>
          </w:p>
        </w:tc>
        <w:tc>
          <w:tcPr>
            <w:tcW w:w="0" w:type="auto"/>
            <w:tcBorders>
              <w:top w:val="nil"/>
              <w:left w:val="nil"/>
              <w:bottom w:val="nil"/>
              <w:right w:val="nil"/>
            </w:tcBorders>
            <w:shd w:val="clear" w:color="auto" w:fill="auto"/>
            <w:vAlign w:val="center"/>
            <w:hideMark/>
          </w:tcPr>
          <w:p w14:paraId="7AB223CC"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1F144831"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10,252 </w:t>
            </w:r>
          </w:p>
        </w:tc>
      </w:tr>
      <w:tr w:rsidR="00937254" w:rsidRPr="00937254" w14:paraId="50B7EEBE" w14:textId="77777777" w:rsidTr="00937254">
        <w:trPr>
          <w:trHeight w:val="315"/>
        </w:trPr>
        <w:tc>
          <w:tcPr>
            <w:tcW w:w="0" w:type="auto"/>
            <w:tcBorders>
              <w:top w:val="nil"/>
              <w:left w:val="nil"/>
              <w:bottom w:val="nil"/>
              <w:right w:val="nil"/>
            </w:tcBorders>
            <w:shd w:val="clear" w:color="auto" w:fill="auto"/>
            <w:vAlign w:val="center"/>
            <w:hideMark/>
          </w:tcPr>
          <w:p w14:paraId="0371F85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4650771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c>
          <w:tcPr>
            <w:tcW w:w="0" w:type="auto"/>
            <w:tcBorders>
              <w:top w:val="nil"/>
              <w:left w:val="nil"/>
              <w:bottom w:val="nil"/>
              <w:right w:val="nil"/>
            </w:tcBorders>
            <w:shd w:val="clear" w:color="auto" w:fill="auto"/>
            <w:vAlign w:val="center"/>
            <w:hideMark/>
          </w:tcPr>
          <w:p w14:paraId="17F6BA7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6F5CA87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w:t>
            </w:r>
          </w:p>
        </w:tc>
      </w:tr>
      <w:tr w:rsidR="00937254" w:rsidRPr="00937254" w14:paraId="302B86E5" w14:textId="77777777" w:rsidTr="00937254">
        <w:trPr>
          <w:trHeight w:val="300"/>
        </w:trPr>
        <w:tc>
          <w:tcPr>
            <w:tcW w:w="0" w:type="auto"/>
            <w:tcBorders>
              <w:top w:val="nil"/>
              <w:left w:val="nil"/>
              <w:bottom w:val="nil"/>
              <w:right w:val="nil"/>
            </w:tcBorders>
            <w:shd w:val="clear" w:color="auto" w:fill="auto"/>
            <w:vAlign w:val="center"/>
            <w:hideMark/>
          </w:tcPr>
          <w:p w14:paraId="3B4EBF46"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570CA88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1BA9796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4FA2B5F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793263BB" w14:textId="77777777" w:rsidTr="00937254">
        <w:trPr>
          <w:trHeight w:val="525"/>
        </w:trPr>
        <w:tc>
          <w:tcPr>
            <w:tcW w:w="0" w:type="auto"/>
            <w:tcBorders>
              <w:top w:val="nil"/>
              <w:left w:val="nil"/>
              <w:bottom w:val="nil"/>
              <w:right w:val="nil"/>
            </w:tcBorders>
            <w:shd w:val="clear" w:color="auto" w:fill="auto"/>
            <w:vAlign w:val="center"/>
            <w:hideMark/>
          </w:tcPr>
          <w:p w14:paraId="10E2C195"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Cash and cash equivalents at end of period</w:t>
            </w:r>
          </w:p>
        </w:tc>
        <w:tc>
          <w:tcPr>
            <w:tcW w:w="0" w:type="auto"/>
            <w:tcBorders>
              <w:top w:val="nil"/>
              <w:left w:val="nil"/>
              <w:bottom w:val="double" w:sz="6" w:space="0" w:color="000000"/>
              <w:right w:val="nil"/>
            </w:tcBorders>
            <w:shd w:val="clear" w:color="auto" w:fill="auto"/>
            <w:vAlign w:val="center"/>
            <w:hideMark/>
          </w:tcPr>
          <w:p w14:paraId="6629220E"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4,837,793 </w:t>
            </w:r>
          </w:p>
        </w:tc>
        <w:tc>
          <w:tcPr>
            <w:tcW w:w="0" w:type="auto"/>
            <w:tcBorders>
              <w:top w:val="nil"/>
              <w:left w:val="nil"/>
              <w:bottom w:val="nil"/>
              <w:right w:val="nil"/>
            </w:tcBorders>
            <w:shd w:val="clear" w:color="auto" w:fill="auto"/>
            <w:vAlign w:val="center"/>
            <w:hideMark/>
          </w:tcPr>
          <w:p w14:paraId="530C646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double" w:sz="6" w:space="0" w:color="000000"/>
              <w:right w:val="nil"/>
            </w:tcBorders>
            <w:shd w:val="clear" w:color="auto" w:fill="auto"/>
            <w:vAlign w:val="center"/>
            <w:hideMark/>
          </w:tcPr>
          <w:p w14:paraId="1D73A94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6,723,236 </w:t>
            </w:r>
          </w:p>
        </w:tc>
      </w:tr>
      <w:tr w:rsidR="00937254" w:rsidRPr="00937254" w14:paraId="2AA65CFC" w14:textId="77777777" w:rsidTr="00937254">
        <w:trPr>
          <w:trHeight w:val="525"/>
        </w:trPr>
        <w:tc>
          <w:tcPr>
            <w:tcW w:w="0" w:type="auto"/>
            <w:tcBorders>
              <w:top w:val="nil"/>
              <w:left w:val="nil"/>
              <w:bottom w:val="nil"/>
              <w:right w:val="nil"/>
            </w:tcBorders>
            <w:shd w:val="clear" w:color="auto" w:fill="auto"/>
            <w:vAlign w:val="center"/>
            <w:hideMark/>
          </w:tcPr>
          <w:p w14:paraId="1D28F3B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Cash and cash equivalents consist of:</w:t>
            </w:r>
          </w:p>
        </w:tc>
        <w:tc>
          <w:tcPr>
            <w:tcW w:w="0" w:type="auto"/>
            <w:tcBorders>
              <w:top w:val="nil"/>
              <w:left w:val="nil"/>
              <w:bottom w:val="nil"/>
              <w:right w:val="nil"/>
            </w:tcBorders>
            <w:shd w:val="clear" w:color="auto" w:fill="auto"/>
            <w:vAlign w:val="center"/>
            <w:hideMark/>
          </w:tcPr>
          <w:p w14:paraId="4719C9C2"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vAlign w:val="center"/>
            <w:hideMark/>
          </w:tcPr>
          <w:p w14:paraId="435DE60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044D75A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960D888" w14:textId="77777777" w:rsidTr="00937254">
        <w:trPr>
          <w:trHeight w:val="315"/>
        </w:trPr>
        <w:tc>
          <w:tcPr>
            <w:tcW w:w="0" w:type="auto"/>
            <w:tcBorders>
              <w:top w:val="nil"/>
              <w:left w:val="nil"/>
              <w:bottom w:val="nil"/>
              <w:right w:val="nil"/>
            </w:tcBorders>
            <w:shd w:val="clear" w:color="auto" w:fill="auto"/>
            <w:vAlign w:val="center"/>
            <w:hideMark/>
          </w:tcPr>
          <w:p w14:paraId="4B49EB90"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Cash at Bank</w:t>
            </w:r>
          </w:p>
        </w:tc>
        <w:tc>
          <w:tcPr>
            <w:tcW w:w="0" w:type="auto"/>
            <w:tcBorders>
              <w:top w:val="nil"/>
              <w:left w:val="nil"/>
              <w:bottom w:val="double" w:sz="6" w:space="0" w:color="000000"/>
              <w:right w:val="nil"/>
            </w:tcBorders>
            <w:shd w:val="clear" w:color="auto" w:fill="auto"/>
            <w:vAlign w:val="center"/>
            <w:hideMark/>
          </w:tcPr>
          <w:p w14:paraId="6DDEE01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4,837,793 </w:t>
            </w:r>
          </w:p>
        </w:tc>
        <w:tc>
          <w:tcPr>
            <w:tcW w:w="0" w:type="auto"/>
            <w:tcBorders>
              <w:top w:val="nil"/>
              <w:left w:val="nil"/>
              <w:bottom w:val="nil"/>
              <w:right w:val="nil"/>
            </w:tcBorders>
            <w:shd w:val="clear" w:color="auto" w:fill="auto"/>
            <w:vAlign w:val="center"/>
            <w:hideMark/>
          </w:tcPr>
          <w:p w14:paraId="1A48621F"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8" w:space="0" w:color="000000"/>
              <w:right w:val="nil"/>
            </w:tcBorders>
            <w:shd w:val="clear" w:color="auto" w:fill="auto"/>
            <w:vAlign w:val="center"/>
            <w:hideMark/>
          </w:tcPr>
          <w:p w14:paraId="65E911E8" w14:textId="37099891" w:rsidR="00937254" w:rsidRPr="00937254" w:rsidRDefault="00937254" w:rsidP="00687C0A">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w:t>
            </w:r>
            <w:r w:rsidR="00C41C7C">
              <w:rPr>
                <w:rFonts w:ascii="Arial" w:eastAsia="Times New Roman" w:hAnsi="Arial" w:cs="Arial"/>
                <w:color w:val="000000"/>
                <w:sz w:val="20"/>
                <w:szCs w:val="20"/>
                <w:lang w:bidi="ar-SA"/>
              </w:rPr>
              <w:t xml:space="preserve">       </w:t>
            </w:r>
            <w:r w:rsidRPr="00937254">
              <w:rPr>
                <w:rFonts w:ascii="Arial" w:eastAsia="Times New Roman" w:hAnsi="Arial" w:cs="Arial"/>
                <w:color w:val="000000"/>
                <w:sz w:val="20"/>
                <w:szCs w:val="20"/>
                <w:lang w:bidi="ar-SA"/>
              </w:rPr>
              <w:t xml:space="preserve">6,723,236 </w:t>
            </w:r>
          </w:p>
        </w:tc>
      </w:tr>
    </w:tbl>
    <w:p w14:paraId="1A22E133" w14:textId="4726184D" w:rsidR="00487256" w:rsidRPr="00DB2968" w:rsidRDefault="00487256" w:rsidP="0089653F">
      <w:pPr>
        <w:tabs>
          <w:tab w:val="left" w:pos="989"/>
        </w:tabs>
        <w:rPr>
          <w:rFonts w:asciiTheme="minorHAnsi" w:hAnsiTheme="minorHAnsi" w:cstheme="minorHAnsi"/>
          <w:sz w:val="20"/>
          <w:szCs w:val="20"/>
        </w:rPr>
      </w:pPr>
    </w:p>
    <w:p w14:paraId="1B7F1359" w14:textId="7515FAD8" w:rsidR="00487256" w:rsidRPr="00DB2968" w:rsidRDefault="00487256" w:rsidP="0089653F">
      <w:pPr>
        <w:tabs>
          <w:tab w:val="left" w:pos="989"/>
        </w:tabs>
        <w:rPr>
          <w:rFonts w:asciiTheme="minorHAnsi" w:hAnsiTheme="minorHAnsi" w:cstheme="minorHAnsi"/>
          <w:sz w:val="20"/>
          <w:szCs w:val="20"/>
        </w:rPr>
      </w:pPr>
    </w:p>
    <w:p w14:paraId="6745358A" w14:textId="6523DFC0" w:rsidR="00487256" w:rsidRPr="00DB2968" w:rsidRDefault="00487256" w:rsidP="0089653F">
      <w:pPr>
        <w:tabs>
          <w:tab w:val="left" w:pos="989"/>
        </w:tabs>
        <w:rPr>
          <w:rFonts w:asciiTheme="minorHAnsi" w:hAnsiTheme="minorHAnsi" w:cstheme="minorHAnsi"/>
          <w:sz w:val="20"/>
          <w:szCs w:val="20"/>
        </w:rPr>
      </w:pPr>
    </w:p>
    <w:p w14:paraId="2C4BA2D1" w14:textId="6CB1EC23" w:rsidR="00487256" w:rsidRPr="00DB2968" w:rsidRDefault="00487256" w:rsidP="0089653F">
      <w:pPr>
        <w:tabs>
          <w:tab w:val="left" w:pos="989"/>
        </w:tabs>
        <w:rPr>
          <w:rFonts w:asciiTheme="minorHAnsi" w:hAnsiTheme="minorHAnsi" w:cstheme="minorHAnsi"/>
          <w:sz w:val="20"/>
          <w:szCs w:val="20"/>
        </w:rPr>
      </w:pPr>
    </w:p>
    <w:p w14:paraId="00BCEE1C" w14:textId="6B075128" w:rsidR="00487256" w:rsidRPr="00DB2968" w:rsidRDefault="00487256" w:rsidP="0089653F">
      <w:pPr>
        <w:tabs>
          <w:tab w:val="left" w:pos="989"/>
        </w:tabs>
        <w:rPr>
          <w:rFonts w:asciiTheme="minorHAnsi" w:hAnsiTheme="minorHAnsi" w:cstheme="minorHAnsi"/>
          <w:sz w:val="20"/>
          <w:szCs w:val="20"/>
        </w:rPr>
      </w:pPr>
    </w:p>
    <w:p w14:paraId="12C15316" w14:textId="1D9D330F" w:rsidR="00487256" w:rsidRPr="00DB2968" w:rsidRDefault="00487256" w:rsidP="0089653F">
      <w:pPr>
        <w:tabs>
          <w:tab w:val="left" w:pos="989"/>
        </w:tabs>
        <w:rPr>
          <w:rFonts w:asciiTheme="minorHAnsi" w:hAnsiTheme="minorHAnsi" w:cstheme="minorHAnsi"/>
          <w:sz w:val="20"/>
          <w:szCs w:val="20"/>
        </w:rPr>
      </w:pPr>
    </w:p>
    <w:p w14:paraId="32BC858A" w14:textId="055BD6BA" w:rsidR="00487256" w:rsidRPr="00DB2968" w:rsidRDefault="00487256" w:rsidP="0089653F">
      <w:pPr>
        <w:tabs>
          <w:tab w:val="left" w:pos="989"/>
        </w:tabs>
        <w:rPr>
          <w:rFonts w:asciiTheme="minorHAnsi" w:hAnsiTheme="minorHAnsi" w:cstheme="minorHAnsi"/>
          <w:sz w:val="20"/>
          <w:szCs w:val="20"/>
        </w:rPr>
      </w:pPr>
    </w:p>
    <w:p w14:paraId="2F495E03" w14:textId="2CA854A9" w:rsidR="00487256" w:rsidRPr="00DB2968" w:rsidRDefault="00487256" w:rsidP="0089653F">
      <w:pPr>
        <w:tabs>
          <w:tab w:val="left" w:pos="989"/>
        </w:tabs>
        <w:rPr>
          <w:rFonts w:asciiTheme="minorHAnsi" w:hAnsiTheme="minorHAnsi" w:cstheme="minorHAnsi"/>
          <w:sz w:val="20"/>
          <w:szCs w:val="20"/>
        </w:rPr>
      </w:pPr>
    </w:p>
    <w:p w14:paraId="50C49A61" w14:textId="216363EA" w:rsidR="00487256" w:rsidRPr="00DB2968" w:rsidRDefault="00487256" w:rsidP="0089653F">
      <w:pPr>
        <w:tabs>
          <w:tab w:val="left" w:pos="989"/>
        </w:tabs>
        <w:rPr>
          <w:rFonts w:asciiTheme="minorHAnsi" w:hAnsiTheme="minorHAnsi" w:cstheme="minorHAnsi"/>
          <w:sz w:val="20"/>
          <w:szCs w:val="20"/>
        </w:rPr>
      </w:pPr>
    </w:p>
    <w:p w14:paraId="7CFCD854" w14:textId="0B0403EF" w:rsidR="00487256" w:rsidRPr="00DB2968" w:rsidRDefault="00487256" w:rsidP="0089653F">
      <w:pPr>
        <w:tabs>
          <w:tab w:val="left" w:pos="989"/>
        </w:tabs>
        <w:rPr>
          <w:rFonts w:asciiTheme="minorHAnsi" w:hAnsiTheme="minorHAnsi" w:cstheme="minorHAnsi"/>
          <w:sz w:val="20"/>
          <w:szCs w:val="20"/>
        </w:rPr>
      </w:pPr>
    </w:p>
    <w:p w14:paraId="34178D37" w14:textId="069142F6" w:rsidR="00487256" w:rsidRPr="00DB2968" w:rsidRDefault="00487256" w:rsidP="0089653F">
      <w:pPr>
        <w:tabs>
          <w:tab w:val="left" w:pos="989"/>
        </w:tabs>
        <w:rPr>
          <w:rFonts w:asciiTheme="minorHAnsi" w:hAnsiTheme="minorHAnsi" w:cstheme="minorHAnsi"/>
          <w:sz w:val="20"/>
          <w:szCs w:val="20"/>
        </w:rPr>
      </w:pPr>
    </w:p>
    <w:p w14:paraId="0DC291E4" w14:textId="7C6385FB" w:rsidR="00487256" w:rsidRPr="00DB2968" w:rsidRDefault="00487256" w:rsidP="0089653F">
      <w:pPr>
        <w:tabs>
          <w:tab w:val="left" w:pos="989"/>
        </w:tabs>
        <w:rPr>
          <w:rFonts w:asciiTheme="minorHAnsi" w:hAnsiTheme="minorHAnsi" w:cstheme="minorHAnsi"/>
          <w:sz w:val="20"/>
          <w:szCs w:val="20"/>
        </w:rPr>
      </w:pPr>
    </w:p>
    <w:p w14:paraId="1117EA31" w14:textId="5D8024F4" w:rsidR="00487256" w:rsidRPr="00DB2968" w:rsidRDefault="00487256" w:rsidP="0089653F">
      <w:pPr>
        <w:tabs>
          <w:tab w:val="left" w:pos="989"/>
        </w:tabs>
        <w:rPr>
          <w:rFonts w:asciiTheme="minorHAnsi" w:hAnsiTheme="minorHAnsi" w:cstheme="minorHAnsi"/>
          <w:sz w:val="20"/>
          <w:szCs w:val="20"/>
        </w:rPr>
      </w:pPr>
    </w:p>
    <w:p w14:paraId="1816859A" w14:textId="33101A12" w:rsidR="00487256" w:rsidRPr="00DB2968" w:rsidRDefault="00487256" w:rsidP="0089653F">
      <w:pPr>
        <w:tabs>
          <w:tab w:val="left" w:pos="989"/>
        </w:tabs>
        <w:rPr>
          <w:rFonts w:asciiTheme="minorHAnsi" w:hAnsiTheme="minorHAnsi" w:cstheme="minorHAnsi"/>
          <w:sz w:val="20"/>
          <w:szCs w:val="20"/>
        </w:rPr>
      </w:pPr>
    </w:p>
    <w:p w14:paraId="0BC4F611" w14:textId="1E208F45" w:rsidR="00487256" w:rsidRPr="00DB2968" w:rsidRDefault="00487256" w:rsidP="0089653F">
      <w:pPr>
        <w:tabs>
          <w:tab w:val="left" w:pos="989"/>
        </w:tabs>
        <w:rPr>
          <w:rFonts w:asciiTheme="minorHAnsi" w:hAnsiTheme="minorHAnsi" w:cstheme="minorHAnsi"/>
          <w:sz w:val="20"/>
          <w:szCs w:val="20"/>
        </w:rPr>
      </w:pPr>
    </w:p>
    <w:p w14:paraId="6224FA2B" w14:textId="3F9E34FD" w:rsidR="00487256" w:rsidRPr="00DB2968" w:rsidRDefault="00487256" w:rsidP="0089653F">
      <w:pPr>
        <w:tabs>
          <w:tab w:val="left" w:pos="989"/>
        </w:tabs>
        <w:rPr>
          <w:rFonts w:asciiTheme="minorHAnsi" w:hAnsiTheme="minorHAnsi" w:cstheme="minorHAnsi"/>
          <w:sz w:val="20"/>
          <w:szCs w:val="20"/>
        </w:rPr>
      </w:pPr>
    </w:p>
    <w:p w14:paraId="3363A0EF" w14:textId="1021AE32" w:rsidR="00487256" w:rsidRPr="00DB2968" w:rsidRDefault="00487256" w:rsidP="0089653F">
      <w:pPr>
        <w:tabs>
          <w:tab w:val="left" w:pos="989"/>
        </w:tabs>
        <w:rPr>
          <w:rFonts w:asciiTheme="minorHAnsi" w:hAnsiTheme="minorHAnsi" w:cstheme="minorHAnsi"/>
          <w:sz w:val="20"/>
          <w:szCs w:val="20"/>
        </w:rPr>
      </w:pPr>
    </w:p>
    <w:p w14:paraId="77245E92" w14:textId="494CFFE6" w:rsidR="00487256" w:rsidRPr="00DB2968" w:rsidRDefault="00487256" w:rsidP="0089653F">
      <w:pPr>
        <w:tabs>
          <w:tab w:val="left" w:pos="989"/>
        </w:tabs>
        <w:rPr>
          <w:rFonts w:asciiTheme="minorHAnsi" w:hAnsiTheme="minorHAnsi" w:cstheme="minorHAnsi"/>
          <w:sz w:val="20"/>
          <w:szCs w:val="20"/>
        </w:rPr>
      </w:pPr>
    </w:p>
    <w:p w14:paraId="2A01F3F2" w14:textId="27F85924" w:rsidR="00487256" w:rsidRPr="00DB2968" w:rsidRDefault="00487256" w:rsidP="0089653F">
      <w:pPr>
        <w:tabs>
          <w:tab w:val="left" w:pos="989"/>
        </w:tabs>
        <w:rPr>
          <w:rFonts w:asciiTheme="minorHAnsi" w:hAnsiTheme="minorHAnsi" w:cstheme="minorHAnsi"/>
          <w:sz w:val="20"/>
          <w:szCs w:val="20"/>
        </w:rPr>
      </w:pPr>
    </w:p>
    <w:p w14:paraId="7D8085D4" w14:textId="469B085B" w:rsidR="00487256" w:rsidRPr="00DB2968" w:rsidRDefault="00487256" w:rsidP="0089653F">
      <w:pPr>
        <w:tabs>
          <w:tab w:val="left" w:pos="989"/>
        </w:tabs>
        <w:rPr>
          <w:rFonts w:asciiTheme="minorHAnsi" w:hAnsiTheme="minorHAnsi" w:cstheme="minorHAnsi"/>
          <w:sz w:val="20"/>
          <w:szCs w:val="20"/>
        </w:rPr>
      </w:pPr>
    </w:p>
    <w:p w14:paraId="449C6C17" w14:textId="3FEB90D0" w:rsidR="00487256" w:rsidRPr="00DB2968" w:rsidRDefault="00487256" w:rsidP="0089653F">
      <w:pPr>
        <w:tabs>
          <w:tab w:val="left" w:pos="989"/>
        </w:tabs>
        <w:rPr>
          <w:rFonts w:asciiTheme="minorHAnsi" w:hAnsiTheme="minorHAnsi" w:cstheme="minorHAnsi"/>
          <w:sz w:val="20"/>
          <w:szCs w:val="20"/>
        </w:rPr>
      </w:pPr>
    </w:p>
    <w:p w14:paraId="4B1F48F7" w14:textId="0A3EF790" w:rsidR="00487256" w:rsidRPr="00DB2968" w:rsidRDefault="00487256" w:rsidP="0089653F">
      <w:pPr>
        <w:tabs>
          <w:tab w:val="left" w:pos="989"/>
        </w:tabs>
        <w:rPr>
          <w:rFonts w:asciiTheme="minorHAnsi" w:hAnsiTheme="minorHAnsi" w:cstheme="minorHAnsi"/>
          <w:sz w:val="20"/>
          <w:szCs w:val="20"/>
        </w:rPr>
      </w:pPr>
    </w:p>
    <w:p w14:paraId="2CABFBE5" w14:textId="5CEB5CF4" w:rsidR="00487256" w:rsidRPr="00DB2968" w:rsidRDefault="00487256" w:rsidP="0089653F">
      <w:pPr>
        <w:tabs>
          <w:tab w:val="left" w:pos="989"/>
        </w:tabs>
        <w:rPr>
          <w:rFonts w:asciiTheme="minorHAnsi" w:hAnsiTheme="minorHAnsi" w:cstheme="minorHAnsi"/>
          <w:sz w:val="20"/>
          <w:szCs w:val="20"/>
        </w:rPr>
      </w:pPr>
    </w:p>
    <w:p w14:paraId="4C59D189" w14:textId="535FBEC9" w:rsidR="00487256" w:rsidRDefault="00487256" w:rsidP="0089653F">
      <w:pPr>
        <w:tabs>
          <w:tab w:val="left" w:pos="989"/>
        </w:tabs>
        <w:rPr>
          <w:rFonts w:asciiTheme="minorHAnsi" w:hAnsiTheme="minorHAnsi" w:cstheme="minorHAnsi"/>
          <w:sz w:val="20"/>
          <w:szCs w:val="20"/>
        </w:rPr>
      </w:pPr>
    </w:p>
    <w:p w14:paraId="1B26F5A5" w14:textId="77777777" w:rsidR="00937254" w:rsidRDefault="00937254" w:rsidP="0089653F">
      <w:pPr>
        <w:tabs>
          <w:tab w:val="left" w:pos="989"/>
        </w:tabs>
        <w:rPr>
          <w:rFonts w:asciiTheme="minorHAnsi" w:hAnsiTheme="minorHAnsi" w:cstheme="minorHAnsi"/>
          <w:sz w:val="20"/>
          <w:szCs w:val="20"/>
        </w:rPr>
      </w:pPr>
    </w:p>
    <w:p w14:paraId="6F8C4866" w14:textId="73C26EB5" w:rsidR="007600FC" w:rsidRDefault="007600FC" w:rsidP="0089653F">
      <w:pPr>
        <w:tabs>
          <w:tab w:val="left" w:pos="989"/>
        </w:tabs>
        <w:rPr>
          <w:rFonts w:asciiTheme="minorHAnsi" w:hAnsiTheme="minorHAnsi" w:cstheme="minorHAnsi"/>
          <w:sz w:val="20"/>
          <w:szCs w:val="20"/>
        </w:rPr>
      </w:pPr>
    </w:p>
    <w:p w14:paraId="051E0720" w14:textId="77777777" w:rsidR="007600FC" w:rsidRDefault="007600FC" w:rsidP="0089653F">
      <w:pPr>
        <w:tabs>
          <w:tab w:val="left" w:pos="989"/>
        </w:tabs>
        <w:rPr>
          <w:rFonts w:asciiTheme="minorHAnsi" w:hAnsiTheme="minorHAnsi" w:cstheme="minorHAnsi"/>
          <w:sz w:val="20"/>
          <w:szCs w:val="20"/>
        </w:rPr>
      </w:pPr>
    </w:p>
    <w:p w14:paraId="51488302" w14:textId="65D6C129" w:rsidR="00DB59DA" w:rsidRDefault="00DB59DA" w:rsidP="0089653F">
      <w:pPr>
        <w:tabs>
          <w:tab w:val="left" w:pos="989"/>
        </w:tabs>
        <w:rPr>
          <w:rFonts w:asciiTheme="minorHAnsi" w:hAnsiTheme="minorHAnsi" w:cstheme="minorHAnsi"/>
          <w:sz w:val="20"/>
          <w:szCs w:val="20"/>
        </w:rPr>
      </w:pPr>
    </w:p>
    <w:p w14:paraId="7ABD2F23" w14:textId="46C64B79" w:rsidR="00DB59DA" w:rsidRDefault="00DB59DA" w:rsidP="0089653F">
      <w:pPr>
        <w:tabs>
          <w:tab w:val="left" w:pos="989"/>
        </w:tabs>
        <w:rPr>
          <w:rFonts w:asciiTheme="minorHAnsi" w:hAnsiTheme="minorHAnsi" w:cstheme="minorHAnsi"/>
          <w:sz w:val="20"/>
          <w:szCs w:val="20"/>
        </w:rPr>
      </w:pPr>
    </w:p>
    <w:p w14:paraId="404A413D" w14:textId="7BB5AAA8" w:rsidR="00DB59DA" w:rsidRDefault="00DB59DA" w:rsidP="0089653F">
      <w:pPr>
        <w:tabs>
          <w:tab w:val="left" w:pos="989"/>
        </w:tabs>
        <w:rPr>
          <w:rFonts w:asciiTheme="minorHAnsi" w:hAnsiTheme="minorHAnsi" w:cstheme="minorHAnsi"/>
          <w:sz w:val="20"/>
          <w:szCs w:val="20"/>
        </w:rPr>
      </w:pPr>
    </w:p>
    <w:p w14:paraId="0360E5A6" w14:textId="3756B319" w:rsidR="00DB59DA" w:rsidRDefault="00DB59DA" w:rsidP="0089653F">
      <w:pPr>
        <w:tabs>
          <w:tab w:val="left" w:pos="989"/>
        </w:tabs>
        <w:rPr>
          <w:rFonts w:asciiTheme="minorHAnsi" w:hAnsiTheme="minorHAnsi" w:cstheme="minorHAnsi"/>
          <w:sz w:val="20"/>
          <w:szCs w:val="20"/>
        </w:rPr>
      </w:pPr>
    </w:p>
    <w:p w14:paraId="14219CDA" w14:textId="688B17B5" w:rsidR="00DB59DA" w:rsidRDefault="00DB59DA" w:rsidP="0089653F">
      <w:pPr>
        <w:tabs>
          <w:tab w:val="left" w:pos="989"/>
        </w:tabs>
        <w:rPr>
          <w:rFonts w:asciiTheme="minorHAnsi" w:hAnsiTheme="minorHAnsi" w:cstheme="minorHAnsi"/>
          <w:sz w:val="20"/>
          <w:szCs w:val="20"/>
        </w:rPr>
      </w:pPr>
    </w:p>
    <w:p w14:paraId="72A50950" w14:textId="45C931F9" w:rsidR="00487256" w:rsidRPr="00DB2968" w:rsidRDefault="00487256" w:rsidP="00487256">
      <w:pPr>
        <w:pStyle w:val="NoSpacing"/>
        <w:rPr>
          <w:rFonts w:cstheme="minorHAnsi"/>
          <w:b/>
          <w:bCs/>
          <w:sz w:val="20"/>
          <w:szCs w:val="20"/>
        </w:rPr>
      </w:pPr>
      <w:r w:rsidRPr="00DB2968">
        <w:rPr>
          <w:rFonts w:cstheme="minorHAnsi"/>
          <w:b/>
          <w:bCs/>
          <w:sz w:val="20"/>
          <w:szCs w:val="20"/>
        </w:rPr>
        <w:lastRenderedPageBreak/>
        <w:t>NOTES TO THE INTERIM RESULTS</w:t>
      </w:r>
      <w:r w:rsidRPr="00DB2968">
        <w:rPr>
          <w:rFonts w:cstheme="minorHAnsi"/>
          <w:color w:val="000000"/>
          <w:sz w:val="20"/>
          <w:szCs w:val="20"/>
        </w:rPr>
        <w:br/>
      </w:r>
      <w:r w:rsidR="00373E43">
        <w:rPr>
          <w:rFonts w:cstheme="minorHAnsi"/>
          <w:b/>
          <w:bCs/>
          <w:sz w:val="20"/>
          <w:szCs w:val="20"/>
        </w:rPr>
        <w:t>For the twelve</w:t>
      </w:r>
      <w:r w:rsidRPr="00DB2968">
        <w:rPr>
          <w:rFonts w:cstheme="minorHAnsi"/>
          <w:b/>
          <w:bCs/>
          <w:sz w:val="20"/>
          <w:szCs w:val="20"/>
        </w:rPr>
        <w:t xml:space="preserve"> months ended 31 J</w:t>
      </w:r>
      <w:r w:rsidR="00373E43">
        <w:rPr>
          <w:rFonts w:cstheme="minorHAnsi"/>
          <w:b/>
          <w:bCs/>
          <w:sz w:val="20"/>
          <w:szCs w:val="20"/>
        </w:rPr>
        <w:t>uly</w:t>
      </w:r>
      <w:r w:rsidRPr="00DB2968">
        <w:rPr>
          <w:rFonts w:cstheme="minorHAnsi"/>
          <w:b/>
          <w:bCs/>
          <w:sz w:val="20"/>
          <w:szCs w:val="20"/>
        </w:rPr>
        <w:t xml:space="preserve"> 2021</w:t>
      </w:r>
    </w:p>
    <w:p w14:paraId="40633B4C" w14:textId="77777777" w:rsidR="00487256" w:rsidRPr="00DB2968" w:rsidRDefault="00487256" w:rsidP="00487256">
      <w:pPr>
        <w:pStyle w:val="ListParagraph"/>
        <w:numPr>
          <w:ilvl w:val="0"/>
          <w:numId w:val="3"/>
        </w:numPr>
        <w:tabs>
          <w:tab w:val="left" w:pos="851"/>
        </w:tabs>
        <w:spacing w:line="240" w:lineRule="auto"/>
        <w:ind w:left="567"/>
        <w:rPr>
          <w:rFonts w:asciiTheme="minorHAnsi" w:hAnsiTheme="minorHAnsi" w:cstheme="minorHAnsi"/>
          <w:b/>
          <w:sz w:val="20"/>
          <w:szCs w:val="20"/>
        </w:rPr>
      </w:pPr>
      <w:r w:rsidRPr="00DB2968">
        <w:rPr>
          <w:rFonts w:asciiTheme="minorHAnsi" w:hAnsiTheme="minorHAnsi" w:cstheme="minorHAnsi"/>
          <w:color w:val="000000"/>
          <w:sz w:val="20"/>
          <w:szCs w:val="20"/>
        </w:rPr>
        <w:br/>
      </w:r>
      <w:r w:rsidRPr="00DB2968">
        <w:rPr>
          <w:rFonts w:asciiTheme="minorHAnsi" w:hAnsiTheme="minorHAnsi" w:cstheme="minorHAnsi"/>
          <w:b/>
          <w:sz w:val="20"/>
          <w:szCs w:val="20"/>
        </w:rPr>
        <w:t>Basis of preparation</w:t>
      </w:r>
    </w:p>
    <w:p w14:paraId="39E6A88E" w14:textId="77777777" w:rsidR="00487256" w:rsidRPr="00DB2968" w:rsidRDefault="00487256" w:rsidP="00487256">
      <w:pPr>
        <w:pStyle w:val="BodyText"/>
        <w:tabs>
          <w:tab w:val="left" w:pos="851"/>
        </w:tabs>
        <w:ind w:left="567"/>
        <w:rPr>
          <w:rFonts w:asciiTheme="minorHAnsi" w:hAnsiTheme="minorHAnsi" w:cstheme="minorHAnsi"/>
          <w:b/>
          <w:sz w:val="20"/>
          <w:szCs w:val="20"/>
        </w:rPr>
      </w:pPr>
    </w:p>
    <w:p w14:paraId="60DD102C" w14:textId="18D23E4E" w:rsidR="00487256" w:rsidRPr="00DB2968" w:rsidRDefault="00487256" w:rsidP="00487256">
      <w:pPr>
        <w:tabs>
          <w:tab w:val="left" w:pos="851"/>
        </w:tabs>
        <w:spacing w:before="1"/>
        <w:ind w:left="567" w:right="1192"/>
        <w:jc w:val="both"/>
        <w:rPr>
          <w:rFonts w:asciiTheme="minorHAnsi" w:hAnsiTheme="minorHAnsi" w:cstheme="minorHAnsi"/>
          <w:sz w:val="20"/>
          <w:szCs w:val="20"/>
        </w:rPr>
      </w:pPr>
      <w:r w:rsidRPr="00DB2968">
        <w:rPr>
          <w:rFonts w:asciiTheme="minorHAnsi" w:hAnsiTheme="minorHAnsi" w:cstheme="minorHAnsi"/>
          <w:sz w:val="20"/>
          <w:szCs w:val="20"/>
        </w:rPr>
        <w:t>The interim financial information in this report has been prepared using accounting policies consistent with IFRS as adopted by the European Union. IFRS is subject to amendment and interpretation by the International Accounting Standards Board (IASB) and the IFRS Interpretations Committee and there is an ongoing process of review and endorsement by the European Commission. The financial information has been prepared on the basis of IFRS that the Directors expect to be adopted by the European Union and applicable as at 31 July</w:t>
      </w:r>
      <w:r w:rsidRPr="00DB2968">
        <w:rPr>
          <w:rFonts w:asciiTheme="minorHAnsi" w:hAnsiTheme="minorHAnsi" w:cstheme="minorHAnsi"/>
          <w:spacing w:val="-19"/>
          <w:sz w:val="20"/>
          <w:szCs w:val="20"/>
        </w:rPr>
        <w:t xml:space="preserve"> </w:t>
      </w:r>
      <w:r w:rsidRPr="00DB2968">
        <w:rPr>
          <w:rFonts w:asciiTheme="minorHAnsi" w:hAnsiTheme="minorHAnsi" w:cstheme="minorHAnsi"/>
          <w:sz w:val="20"/>
          <w:szCs w:val="20"/>
        </w:rPr>
        <w:t>202</w:t>
      </w:r>
      <w:r w:rsidR="00663F98">
        <w:rPr>
          <w:rFonts w:asciiTheme="minorHAnsi" w:hAnsiTheme="minorHAnsi" w:cstheme="minorHAnsi"/>
          <w:sz w:val="20"/>
          <w:szCs w:val="20"/>
        </w:rPr>
        <w:t>1</w:t>
      </w:r>
      <w:r w:rsidRPr="00DB2968">
        <w:rPr>
          <w:rFonts w:asciiTheme="minorHAnsi" w:hAnsiTheme="minorHAnsi" w:cstheme="minorHAnsi"/>
          <w:sz w:val="20"/>
          <w:szCs w:val="20"/>
        </w:rPr>
        <w:t>.</w:t>
      </w:r>
    </w:p>
    <w:p w14:paraId="1BC257DB" w14:textId="77777777" w:rsidR="00487256" w:rsidRPr="00DB2968" w:rsidRDefault="00487256" w:rsidP="00487256">
      <w:pPr>
        <w:pStyle w:val="BodyText"/>
        <w:tabs>
          <w:tab w:val="left" w:pos="851"/>
        </w:tabs>
        <w:spacing w:before="9"/>
        <w:ind w:left="567"/>
        <w:rPr>
          <w:rFonts w:asciiTheme="minorHAnsi" w:hAnsiTheme="minorHAnsi" w:cstheme="minorHAnsi"/>
          <w:sz w:val="20"/>
          <w:szCs w:val="20"/>
        </w:rPr>
      </w:pPr>
    </w:p>
    <w:p w14:paraId="09B1274E" w14:textId="77777777" w:rsidR="00487256" w:rsidRPr="00DB2968" w:rsidRDefault="00487256" w:rsidP="00487256">
      <w:pPr>
        <w:tabs>
          <w:tab w:val="left" w:pos="851"/>
        </w:tabs>
        <w:ind w:left="567"/>
        <w:jc w:val="both"/>
        <w:rPr>
          <w:rFonts w:asciiTheme="minorHAnsi" w:hAnsiTheme="minorHAnsi" w:cstheme="minorHAnsi"/>
          <w:b/>
          <w:sz w:val="20"/>
          <w:szCs w:val="20"/>
        </w:rPr>
      </w:pPr>
      <w:r w:rsidRPr="00DB2968">
        <w:rPr>
          <w:rFonts w:asciiTheme="minorHAnsi" w:hAnsiTheme="minorHAnsi" w:cstheme="minorHAnsi"/>
          <w:b/>
          <w:sz w:val="20"/>
          <w:szCs w:val="20"/>
        </w:rPr>
        <w:t>Non-statutory accounts</w:t>
      </w:r>
    </w:p>
    <w:p w14:paraId="6C3D9E65" w14:textId="77777777" w:rsidR="00487256" w:rsidRPr="00DB2968" w:rsidRDefault="00487256" w:rsidP="00487256">
      <w:pPr>
        <w:tabs>
          <w:tab w:val="left" w:pos="851"/>
        </w:tabs>
        <w:ind w:left="567" w:right="1193"/>
        <w:jc w:val="both"/>
        <w:rPr>
          <w:rFonts w:asciiTheme="minorHAnsi" w:hAnsiTheme="minorHAnsi" w:cstheme="minorHAnsi"/>
          <w:sz w:val="20"/>
          <w:szCs w:val="20"/>
        </w:rPr>
      </w:pPr>
      <w:r w:rsidRPr="00DB2968">
        <w:rPr>
          <w:rFonts w:asciiTheme="minorHAnsi" w:hAnsiTheme="minorHAnsi" w:cstheme="minorHAnsi"/>
          <w:sz w:val="20"/>
          <w:szCs w:val="20"/>
        </w:rPr>
        <w:t>Financial information contained in this document does not constitute statutory accounts within the meaning of section 434 of the Companies Act</w:t>
      </w:r>
      <w:r w:rsidRPr="00DB2968">
        <w:rPr>
          <w:rFonts w:asciiTheme="minorHAnsi" w:hAnsiTheme="minorHAnsi" w:cstheme="minorHAnsi"/>
          <w:spacing w:val="-3"/>
          <w:sz w:val="20"/>
          <w:szCs w:val="20"/>
        </w:rPr>
        <w:t xml:space="preserve"> </w:t>
      </w:r>
      <w:r w:rsidRPr="00DB2968">
        <w:rPr>
          <w:rFonts w:asciiTheme="minorHAnsi" w:hAnsiTheme="minorHAnsi" w:cstheme="minorHAnsi"/>
          <w:sz w:val="20"/>
          <w:szCs w:val="20"/>
        </w:rPr>
        <w:t>2006.</w:t>
      </w:r>
    </w:p>
    <w:p w14:paraId="12F27856" w14:textId="77777777" w:rsidR="00487256" w:rsidRPr="00DB2968" w:rsidRDefault="00487256" w:rsidP="00487256">
      <w:pPr>
        <w:tabs>
          <w:tab w:val="left" w:pos="851"/>
        </w:tabs>
        <w:ind w:left="567" w:right="1190"/>
        <w:jc w:val="both"/>
        <w:rPr>
          <w:rFonts w:asciiTheme="minorHAnsi" w:hAnsiTheme="minorHAnsi" w:cstheme="minorHAnsi"/>
          <w:sz w:val="20"/>
          <w:szCs w:val="20"/>
        </w:rPr>
      </w:pPr>
      <w:r w:rsidRPr="00DB2968">
        <w:rPr>
          <w:rFonts w:asciiTheme="minorHAnsi" w:hAnsiTheme="minorHAnsi" w:cstheme="minorHAnsi"/>
          <w:sz w:val="20"/>
          <w:szCs w:val="20"/>
        </w:rPr>
        <w:t>A copy of the statutory accounts of the Company for the year ended 31 July 2020 has been delivered to the Registrar of Companies. The audit report on these accounts is unqualified and did not contain a statement under Sections 498(2) or (3) of the Companies Act 2006</w:t>
      </w:r>
      <w:r w:rsidRPr="00DB2968">
        <w:rPr>
          <w:rFonts w:asciiTheme="minorHAnsi" w:hAnsiTheme="minorHAnsi" w:cstheme="minorHAnsi"/>
          <w:color w:val="FF0000"/>
          <w:sz w:val="20"/>
          <w:szCs w:val="20"/>
        </w:rPr>
        <w:t xml:space="preserve">. </w:t>
      </w:r>
      <w:r w:rsidRPr="00DB2968">
        <w:rPr>
          <w:rFonts w:asciiTheme="minorHAnsi" w:hAnsiTheme="minorHAnsi" w:cstheme="minorHAnsi"/>
          <w:sz w:val="20"/>
          <w:szCs w:val="20"/>
        </w:rPr>
        <w:t>In their report, which was not qualified, the auditors included a material uncertainty in respect of going concern</w:t>
      </w:r>
    </w:p>
    <w:p w14:paraId="7AFF4797" w14:textId="0C75BE45" w:rsidR="00487256" w:rsidRPr="00DB2968" w:rsidRDefault="00487256" w:rsidP="00487256">
      <w:pPr>
        <w:tabs>
          <w:tab w:val="left" w:pos="851"/>
        </w:tabs>
        <w:ind w:left="567" w:right="1191"/>
        <w:jc w:val="both"/>
        <w:rPr>
          <w:rFonts w:asciiTheme="minorHAnsi" w:hAnsiTheme="minorHAnsi" w:cstheme="minorHAnsi"/>
          <w:sz w:val="20"/>
          <w:szCs w:val="20"/>
        </w:rPr>
      </w:pPr>
      <w:r w:rsidRPr="00DB2968">
        <w:rPr>
          <w:rFonts w:asciiTheme="minorHAnsi" w:hAnsiTheme="minorHAnsi" w:cstheme="minorHAnsi"/>
          <w:sz w:val="20"/>
          <w:szCs w:val="20"/>
        </w:rPr>
        <w:t>The financial informatio</w:t>
      </w:r>
      <w:r w:rsidR="00663F98">
        <w:rPr>
          <w:rFonts w:asciiTheme="minorHAnsi" w:hAnsiTheme="minorHAnsi" w:cstheme="minorHAnsi"/>
          <w:sz w:val="20"/>
          <w:szCs w:val="20"/>
        </w:rPr>
        <w:t>n for the twelve months ended 31 July</w:t>
      </w:r>
      <w:r w:rsidRPr="00DB2968">
        <w:rPr>
          <w:rFonts w:asciiTheme="minorHAnsi" w:hAnsiTheme="minorHAnsi" w:cstheme="minorHAnsi"/>
          <w:sz w:val="20"/>
          <w:szCs w:val="20"/>
        </w:rPr>
        <w:t xml:space="preserve"> 2021</w:t>
      </w:r>
      <w:r w:rsidR="00663F98">
        <w:rPr>
          <w:rFonts w:asciiTheme="minorHAnsi" w:hAnsiTheme="minorHAnsi" w:cstheme="minorHAnsi"/>
          <w:sz w:val="20"/>
          <w:szCs w:val="20"/>
        </w:rPr>
        <w:t xml:space="preserve"> is unaudited</w:t>
      </w:r>
      <w:r w:rsidRPr="00DB2968">
        <w:rPr>
          <w:rFonts w:asciiTheme="minorHAnsi" w:hAnsiTheme="minorHAnsi" w:cstheme="minorHAnsi"/>
          <w:sz w:val="20"/>
          <w:szCs w:val="20"/>
        </w:rPr>
        <w:t xml:space="preserve"> and 31 J</w:t>
      </w:r>
      <w:r w:rsidR="00663F98">
        <w:rPr>
          <w:rFonts w:asciiTheme="minorHAnsi" w:hAnsiTheme="minorHAnsi" w:cstheme="minorHAnsi"/>
          <w:sz w:val="20"/>
          <w:szCs w:val="20"/>
        </w:rPr>
        <w:t xml:space="preserve">uly 2020 is </w:t>
      </w:r>
      <w:r w:rsidRPr="00DB2968">
        <w:rPr>
          <w:rFonts w:asciiTheme="minorHAnsi" w:hAnsiTheme="minorHAnsi" w:cstheme="minorHAnsi"/>
          <w:sz w:val="20"/>
          <w:szCs w:val="20"/>
        </w:rPr>
        <w:t>audited.</w:t>
      </w:r>
    </w:p>
    <w:p w14:paraId="2E6A6F95" w14:textId="77777777" w:rsidR="00487256" w:rsidRPr="00DB2968" w:rsidRDefault="00487256" w:rsidP="00487256">
      <w:pPr>
        <w:tabs>
          <w:tab w:val="left" w:pos="851"/>
        </w:tabs>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 group has chosen not to adopt IAS 34 “Interim Financial Statements” in preparing the interim financial information’. </w:t>
      </w:r>
    </w:p>
    <w:p w14:paraId="44476731" w14:textId="77777777" w:rsidR="00487256" w:rsidRPr="00DB2968" w:rsidRDefault="00487256" w:rsidP="00487256">
      <w:pPr>
        <w:tabs>
          <w:tab w:val="left" w:pos="851"/>
        </w:tabs>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 interim report does not include all the notes of the type normally included in an annual financial report. Accordingly, this report is to be read in conjunction with the annual report for the year ended 31 July 2020, which was prepared under International Financial Reporting Standards (IFRS) as adopted by the European Union (EU), and any public announcements made by </w:t>
      </w:r>
      <w:proofErr w:type="spellStart"/>
      <w:r w:rsidRPr="00DB2968">
        <w:rPr>
          <w:rFonts w:asciiTheme="minorHAnsi" w:hAnsiTheme="minorHAnsi" w:cstheme="minorHAnsi"/>
          <w:sz w:val="20"/>
          <w:szCs w:val="20"/>
        </w:rPr>
        <w:t>InfraStrata</w:t>
      </w:r>
      <w:proofErr w:type="spellEnd"/>
      <w:r w:rsidRPr="00DB2968">
        <w:rPr>
          <w:rFonts w:asciiTheme="minorHAnsi" w:hAnsiTheme="minorHAnsi" w:cstheme="minorHAnsi"/>
          <w:sz w:val="20"/>
          <w:szCs w:val="20"/>
        </w:rPr>
        <w:t xml:space="preserve"> Plc during the interim reporting period.</w:t>
      </w:r>
    </w:p>
    <w:p w14:paraId="024EA842" w14:textId="77777777" w:rsidR="00487256" w:rsidRPr="00DB2968" w:rsidRDefault="00487256" w:rsidP="00487256">
      <w:pPr>
        <w:tabs>
          <w:tab w:val="left" w:pos="851"/>
        </w:tabs>
        <w:ind w:left="567" w:right="1190"/>
        <w:jc w:val="both"/>
        <w:rPr>
          <w:rFonts w:asciiTheme="minorHAnsi" w:hAnsiTheme="minorHAnsi" w:cstheme="minorHAnsi"/>
          <w:sz w:val="20"/>
          <w:szCs w:val="20"/>
        </w:rPr>
      </w:pPr>
    </w:p>
    <w:p w14:paraId="1E999D35" w14:textId="77777777" w:rsidR="00487256" w:rsidRPr="00DB2968" w:rsidRDefault="00487256" w:rsidP="00487256">
      <w:pPr>
        <w:ind w:left="567"/>
        <w:jc w:val="both"/>
        <w:rPr>
          <w:rFonts w:asciiTheme="minorHAnsi" w:hAnsiTheme="minorHAnsi" w:cstheme="minorHAnsi"/>
          <w:b/>
          <w:sz w:val="20"/>
          <w:szCs w:val="20"/>
        </w:rPr>
      </w:pPr>
      <w:r w:rsidRPr="00DB2968">
        <w:rPr>
          <w:rFonts w:asciiTheme="minorHAnsi" w:hAnsiTheme="minorHAnsi" w:cstheme="minorHAnsi"/>
          <w:b/>
          <w:sz w:val="20"/>
          <w:szCs w:val="20"/>
        </w:rPr>
        <w:t>Accounting policies</w:t>
      </w:r>
    </w:p>
    <w:p w14:paraId="0630BAB3" w14:textId="77777777" w:rsidR="00487256" w:rsidRPr="00DB2968" w:rsidRDefault="00487256" w:rsidP="00487256">
      <w:pPr>
        <w:ind w:left="567" w:right="1191"/>
        <w:jc w:val="both"/>
        <w:rPr>
          <w:rFonts w:asciiTheme="minorHAnsi" w:hAnsiTheme="minorHAnsi" w:cstheme="minorHAnsi"/>
          <w:sz w:val="20"/>
          <w:szCs w:val="20"/>
        </w:rPr>
      </w:pPr>
      <w:r w:rsidRPr="00DB2968">
        <w:rPr>
          <w:rFonts w:asciiTheme="minorHAnsi" w:hAnsiTheme="minorHAnsi" w:cstheme="minorHAnsi"/>
          <w:sz w:val="20"/>
          <w:szCs w:val="20"/>
        </w:rPr>
        <w:t xml:space="preserve">The interim financial information has been prepared under the historical cost convention except for certain items that are shown at fair value as disclosed in the accounting policies. </w:t>
      </w:r>
    </w:p>
    <w:p w14:paraId="1677113D" w14:textId="77777777" w:rsidR="00487256" w:rsidRPr="00DB2968" w:rsidRDefault="00487256" w:rsidP="00487256">
      <w:pPr>
        <w:ind w:left="567" w:right="1191"/>
        <w:jc w:val="both"/>
        <w:rPr>
          <w:rFonts w:asciiTheme="minorHAnsi" w:hAnsiTheme="minorHAnsi" w:cstheme="minorHAnsi"/>
          <w:sz w:val="20"/>
          <w:szCs w:val="20"/>
        </w:rPr>
      </w:pPr>
      <w:r w:rsidRPr="00DB2968">
        <w:rPr>
          <w:rFonts w:asciiTheme="minorHAnsi" w:hAnsiTheme="minorHAnsi" w:cstheme="minorHAnsi"/>
          <w:sz w:val="20"/>
          <w:szCs w:val="20"/>
        </w:rPr>
        <w:t>The same accounting policies, presentation and methods of computation are followed in preparing the interim financial information as were applied in preparation of the Group’s financial statements for the year ended 31 July</w:t>
      </w:r>
      <w:r w:rsidRPr="00DB2968">
        <w:rPr>
          <w:rFonts w:asciiTheme="minorHAnsi" w:hAnsiTheme="minorHAnsi" w:cstheme="minorHAnsi"/>
          <w:spacing w:val="-5"/>
          <w:sz w:val="20"/>
          <w:szCs w:val="20"/>
        </w:rPr>
        <w:t xml:space="preserve"> </w:t>
      </w:r>
      <w:r w:rsidRPr="00DB2968">
        <w:rPr>
          <w:rFonts w:asciiTheme="minorHAnsi" w:hAnsiTheme="minorHAnsi" w:cstheme="minorHAnsi"/>
          <w:sz w:val="20"/>
          <w:szCs w:val="20"/>
        </w:rPr>
        <w:t>2020.</w:t>
      </w:r>
    </w:p>
    <w:p w14:paraId="70DD0B14" w14:textId="77777777" w:rsidR="00487256" w:rsidRPr="00DB2968" w:rsidRDefault="00487256" w:rsidP="00487256">
      <w:pPr>
        <w:adjustRightInd w:val="0"/>
        <w:spacing w:after="100"/>
        <w:ind w:left="567" w:right="1167"/>
        <w:jc w:val="both"/>
        <w:rPr>
          <w:rFonts w:asciiTheme="minorHAnsi" w:hAnsiTheme="minorHAnsi" w:cstheme="minorHAnsi"/>
          <w:sz w:val="20"/>
          <w:szCs w:val="20"/>
        </w:rPr>
      </w:pPr>
      <w:r w:rsidRPr="00DB2968">
        <w:rPr>
          <w:rFonts w:asciiTheme="minorHAnsi" w:hAnsiTheme="minorHAnsi" w:cstheme="minorHAnsi"/>
          <w:sz w:val="20"/>
          <w:szCs w:val="20"/>
        </w:rPr>
        <w:t xml:space="preserve">The financial statements are presented in Sterling which is the functional currency of the </w:t>
      </w:r>
      <w:proofErr w:type="gramStart"/>
      <w:r w:rsidRPr="00DB2968">
        <w:rPr>
          <w:rFonts w:asciiTheme="minorHAnsi" w:hAnsiTheme="minorHAnsi" w:cstheme="minorHAnsi"/>
          <w:sz w:val="20"/>
          <w:szCs w:val="20"/>
        </w:rPr>
        <w:t>group</w:t>
      </w:r>
      <w:proofErr w:type="gramEnd"/>
      <w:r w:rsidRPr="00DB2968">
        <w:rPr>
          <w:rFonts w:asciiTheme="minorHAnsi" w:hAnsiTheme="minorHAnsi" w:cstheme="minorHAnsi"/>
          <w:sz w:val="20"/>
          <w:szCs w:val="20"/>
        </w:rPr>
        <w:t xml:space="preserve"> and all values are rounded to the nearest Pound Sterling (£).</w:t>
      </w:r>
    </w:p>
    <w:p w14:paraId="6AFEE7C3" w14:textId="77777777" w:rsidR="00487256" w:rsidRPr="00DB2968" w:rsidRDefault="00487256" w:rsidP="00487256">
      <w:pPr>
        <w:pStyle w:val="NoSpacing"/>
        <w:rPr>
          <w:rFonts w:cstheme="minorHAnsi"/>
          <w:color w:val="000000"/>
          <w:sz w:val="20"/>
          <w:szCs w:val="20"/>
        </w:rPr>
      </w:pPr>
    </w:p>
    <w:p w14:paraId="500E1A73" w14:textId="77777777" w:rsidR="00487256" w:rsidRPr="00DB2968" w:rsidRDefault="00487256" w:rsidP="00487256">
      <w:pPr>
        <w:pStyle w:val="NoSpacing"/>
        <w:rPr>
          <w:rFonts w:cstheme="minorHAnsi"/>
          <w:color w:val="000000"/>
          <w:sz w:val="20"/>
          <w:szCs w:val="20"/>
        </w:rPr>
      </w:pPr>
    </w:p>
    <w:p w14:paraId="48199C4C" w14:textId="77777777" w:rsidR="00487256" w:rsidRPr="00DB2968" w:rsidRDefault="00487256" w:rsidP="00487256">
      <w:pPr>
        <w:pStyle w:val="NoSpacing"/>
        <w:rPr>
          <w:rFonts w:cstheme="minorHAnsi"/>
          <w:color w:val="000000"/>
          <w:sz w:val="20"/>
          <w:szCs w:val="20"/>
        </w:rPr>
      </w:pPr>
    </w:p>
    <w:p w14:paraId="73CBD7C0" w14:textId="6E385F08" w:rsidR="00487256" w:rsidRPr="00DB2968" w:rsidRDefault="00487256" w:rsidP="00487256">
      <w:pPr>
        <w:pStyle w:val="NoSpacing"/>
        <w:rPr>
          <w:rFonts w:cstheme="minorHAnsi"/>
          <w:color w:val="000000"/>
          <w:sz w:val="20"/>
          <w:szCs w:val="20"/>
        </w:rPr>
      </w:pPr>
    </w:p>
    <w:p w14:paraId="6E20C9A6" w14:textId="7B86675D" w:rsidR="00487256" w:rsidRPr="00DB2968" w:rsidRDefault="00373E43" w:rsidP="00487256">
      <w:pPr>
        <w:ind w:left="567"/>
        <w:jc w:val="both"/>
        <w:rPr>
          <w:rFonts w:asciiTheme="minorHAnsi" w:hAnsiTheme="minorHAnsi" w:cstheme="minorHAnsi"/>
          <w:b/>
          <w:sz w:val="20"/>
          <w:szCs w:val="20"/>
        </w:rPr>
      </w:pPr>
      <w:r>
        <w:rPr>
          <w:rFonts w:asciiTheme="minorHAnsi" w:hAnsiTheme="minorHAnsi" w:cstheme="minorHAnsi"/>
          <w:b/>
          <w:sz w:val="20"/>
          <w:szCs w:val="20"/>
        </w:rPr>
        <w:t xml:space="preserve">Basis </w:t>
      </w:r>
      <w:r w:rsidR="00487256" w:rsidRPr="00DB2968">
        <w:rPr>
          <w:rFonts w:asciiTheme="minorHAnsi" w:hAnsiTheme="minorHAnsi" w:cstheme="minorHAnsi"/>
          <w:b/>
          <w:sz w:val="20"/>
          <w:szCs w:val="20"/>
        </w:rPr>
        <w:t>of consolidation</w:t>
      </w:r>
    </w:p>
    <w:p w14:paraId="7AE4CA88" w14:textId="77777777" w:rsidR="00487256" w:rsidRPr="00DB2968" w:rsidRDefault="00487256" w:rsidP="00487256">
      <w:pPr>
        <w:adjustRightInd w:val="0"/>
        <w:spacing w:after="100"/>
        <w:ind w:left="567" w:right="1167"/>
        <w:jc w:val="both"/>
        <w:rPr>
          <w:rFonts w:asciiTheme="minorHAnsi" w:hAnsiTheme="minorHAnsi" w:cstheme="minorHAnsi"/>
          <w:sz w:val="20"/>
          <w:szCs w:val="20"/>
        </w:rPr>
      </w:pPr>
      <w:r w:rsidRPr="00DB2968">
        <w:rPr>
          <w:rFonts w:asciiTheme="minorHAnsi" w:hAnsiTheme="minorHAnsi" w:cstheme="minorHAnsi"/>
          <w:sz w:val="20"/>
          <w:szCs w:val="20"/>
        </w:rPr>
        <w:t>Subsidiaries are all entities (including structured entities) over which the Group has control.  The Group controls an entity when the Group is exposed to, or has rights to, variable returns from its involvement with the entity and has the ability to affect those returns through its power over the entity. Subsidiaries are fully consolidated from the date on which control is transferred to the Group. They are deconsolidated from the date that control ceases.</w:t>
      </w:r>
    </w:p>
    <w:p w14:paraId="363AAC88" w14:textId="77777777" w:rsidR="00487256" w:rsidRPr="00DB2968" w:rsidRDefault="00487256" w:rsidP="00487256">
      <w:pPr>
        <w:adjustRightInd w:val="0"/>
        <w:spacing w:after="100"/>
        <w:ind w:left="567" w:right="1167"/>
        <w:jc w:val="both"/>
        <w:rPr>
          <w:rFonts w:asciiTheme="minorHAnsi" w:hAnsiTheme="minorHAnsi" w:cstheme="minorHAnsi"/>
          <w:sz w:val="20"/>
          <w:szCs w:val="20"/>
        </w:rPr>
      </w:pPr>
      <w:r w:rsidRPr="00DB2968">
        <w:rPr>
          <w:rFonts w:asciiTheme="minorHAnsi" w:hAnsiTheme="minorHAnsi" w:cstheme="minorHAnsi"/>
          <w:sz w:val="20"/>
          <w:szCs w:val="20"/>
        </w:rPr>
        <w:t xml:space="preserve">Inter-company transactions, </w:t>
      </w:r>
      <w:proofErr w:type="gramStart"/>
      <w:r w:rsidRPr="00DB2968">
        <w:rPr>
          <w:rFonts w:asciiTheme="minorHAnsi" w:hAnsiTheme="minorHAnsi" w:cstheme="minorHAnsi"/>
          <w:sz w:val="20"/>
          <w:szCs w:val="20"/>
        </w:rPr>
        <w:t>balances</w:t>
      </w:r>
      <w:proofErr w:type="gramEnd"/>
      <w:r w:rsidRPr="00DB2968">
        <w:rPr>
          <w:rFonts w:asciiTheme="minorHAnsi" w:hAnsiTheme="minorHAnsi" w:cstheme="minorHAnsi"/>
          <w:sz w:val="20"/>
          <w:szCs w:val="20"/>
        </w:rPr>
        <w:t xml:space="preserve"> and unrealised gains on transactions between group companies are eliminated. Unrealised losses are also eliminated. When necessary, amounts reported by subsidiaries have been adjusted to conform with the group’s accounting policies.</w:t>
      </w:r>
    </w:p>
    <w:p w14:paraId="03F9B141" w14:textId="77777777" w:rsidR="00487256" w:rsidRPr="00DB2968" w:rsidRDefault="00487256" w:rsidP="00487256">
      <w:pPr>
        <w:rPr>
          <w:rFonts w:asciiTheme="minorHAnsi" w:hAnsiTheme="minorHAnsi" w:cstheme="minorHAnsi"/>
          <w:sz w:val="20"/>
          <w:szCs w:val="20"/>
        </w:rPr>
      </w:pPr>
    </w:p>
    <w:p w14:paraId="1D11C7E8" w14:textId="77777777" w:rsidR="00487256" w:rsidRPr="00DB2968" w:rsidRDefault="00487256" w:rsidP="00487256">
      <w:pPr>
        <w:rPr>
          <w:rFonts w:asciiTheme="minorHAnsi" w:hAnsiTheme="minorHAnsi" w:cstheme="minorHAnsi"/>
          <w:sz w:val="20"/>
          <w:szCs w:val="20"/>
        </w:rPr>
      </w:pPr>
    </w:p>
    <w:p w14:paraId="4302E15D" w14:textId="22A98EA9" w:rsidR="002E4C8F" w:rsidRDefault="00487256" w:rsidP="00487256">
      <w:pPr>
        <w:ind w:left="567"/>
        <w:jc w:val="both"/>
        <w:rPr>
          <w:rFonts w:asciiTheme="minorHAnsi" w:hAnsiTheme="minorHAnsi" w:cstheme="minorHAnsi"/>
          <w:b/>
          <w:sz w:val="20"/>
          <w:szCs w:val="20"/>
        </w:rPr>
      </w:pPr>
      <w:r w:rsidRPr="006F7A88">
        <w:rPr>
          <w:rFonts w:asciiTheme="minorHAnsi" w:hAnsiTheme="minorHAnsi" w:cstheme="minorHAnsi"/>
          <w:b/>
          <w:sz w:val="20"/>
          <w:szCs w:val="20"/>
        </w:rPr>
        <w:t xml:space="preserve">Going concern and carrying value of </w:t>
      </w:r>
      <w:proofErr w:type="spellStart"/>
      <w:r w:rsidRPr="006F7A88">
        <w:rPr>
          <w:rFonts w:asciiTheme="minorHAnsi" w:hAnsiTheme="minorHAnsi" w:cstheme="minorHAnsi"/>
          <w:b/>
          <w:sz w:val="20"/>
          <w:szCs w:val="20"/>
        </w:rPr>
        <w:t>Islandmagee</w:t>
      </w:r>
      <w:proofErr w:type="spellEnd"/>
      <w:r w:rsidRPr="006F7A88">
        <w:rPr>
          <w:rFonts w:asciiTheme="minorHAnsi" w:hAnsiTheme="minorHAnsi" w:cstheme="minorHAnsi"/>
          <w:b/>
          <w:sz w:val="20"/>
          <w:szCs w:val="20"/>
        </w:rPr>
        <w:t xml:space="preserve"> gas storage project</w:t>
      </w:r>
    </w:p>
    <w:p w14:paraId="3509F49D" w14:textId="5F8D79F5" w:rsidR="00487256" w:rsidRPr="00DB2968" w:rsidRDefault="002E4C8F" w:rsidP="00C60614">
      <w:pPr>
        <w:ind w:left="567"/>
        <w:jc w:val="both"/>
        <w:rPr>
          <w:rFonts w:asciiTheme="minorHAnsi" w:hAnsiTheme="minorHAnsi" w:cstheme="minorHAnsi"/>
          <w:sz w:val="20"/>
          <w:szCs w:val="20"/>
        </w:rPr>
      </w:pPr>
      <w:r w:rsidRPr="002013DE">
        <w:rPr>
          <w:rFonts w:asciiTheme="minorHAnsi" w:hAnsiTheme="minorHAnsi" w:cstheme="minorHAnsi"/>
          <w:bCs/>
          <w:sz w:val="20"/>
          <w:szCs w:val="20"/>
        </w:rPr>
        <w:t>The Company raised £</w:t>
      </w:r>
      <w:r w:rsidR="00A55237">
        <w:rPr>
          <w:rFonts w:asciiTheme="minorHAnsi" w:hAnsiTheme="minorHAnsi" w:cstheme="minorHAnsi"/>
          <w:bCs/>
          <w:sz w:val="20"/>
          <w:szCs w:val="20"/>
        </w:rPr>
        <w:t>8</w:t>
      </w:r>
      <w:r w:rsidRPr="002013DE">
        <w:rPr>
          <w:rFonts w:asciiTheme="minorHAnsi" w:hAnsiTheme="minorHAnsi" w:cstheme="minorHAnsi"/>
          <w:bCs/>
          <w:sz w:val="20"/>
          <w:szCs w:val="20"/>
        </w:rPr>
        <w:t>.40 million via a placing of new equity shares in December 2020 and January 2021</w:t>
      </w:r>
      <w:r>
        <w:rPr>
          <w:rFonts w:asciiTheme="minorHAnsi" w:hAnsiTheme="minorHAnsi" w:cstheme="minorHAnsi"/>
          <w:bCs/>
          <w:sz w:val="20"/>
          <w:szCs w:val="20"/>
        </w:rPr>
        <w:t xml:space="preserve"> and a further </w:t>
      </w:r>
      <w:r w:rsidR="00A55237">
        <w:rPr>
          <w:rFonts w:asciiTheme="minorHAnsi" w:hAnsiTheme="minorHAnsi" w:cstheme="minorHAnsi"/>
          <w:bCs/>
          <w:sz w:val="20"/>
          <w:szCs w:val="20"/>
        </w:rPr>
        <w:t>£12.07 million in May 2021</w:t>
      </w:r>
      <w:r w:rsidRPr="002013DE">
        <w:rPr>
          <w:rFonts w:asciiTheme="minorHAnsi" w:hAnsiTheme="minorHAnsi" w:cstheme="minorHAnsi"/>
          <w:bCs/>
          <w:sz w:val="20"/>
          <w:szCs w:val="20"/>
        </w:rPr>
        <w:t>. Management believes that the Company has, as at the 31 J</w:t>
      </w:r>
      <w:r w:rsidR="00A55237">
        <w:rPr>
          <w:rFonts w:asciiTheme="minorHAnsi" w:hAnsiTheme="minorHAnsi" w:cstheme="minorHAnsi"/>
          <w:bCs/>
          <w:sz w:val="20"/>
          <w:szCs w:val="20"/>
        </w:rPr>
        <w:t>uly</w:t>
      </w:r>
      <w:r w:rsidRPr="002013DE">
        <w:rPr>
          <w:rFonts w:asciiTheme="minorHAnsi" w:hAnsiTheme="minorHAnsi" w:cstheme="minorHAnsi"/>
          <w:bCs/>
          <w:sz w:val="20"/>
          <w:szCs w:val="20"/>
        </w:rPr>
        <w:t xml:space="preserve"> 2021, sufficient </w:t>
      </w:r>
      <w:r w:rsidRPr="002013DE">
        <w:rPr>
          <w:rFonts w:asciiTheme="minorHAnsi" w:hAnsiTheme="minorHAnsi" w:cstheme="minorHAnsi"/>
          <w:bCs/>
          <w:sz w:val="20"/>
          <w:szCs w:val="20"/>
        </w:rPr>
        <w:lastRenderedPageBreak/>
        <w:t xml:space="preserve">liquidity to meet its obligations as a going concern. Management does not consider the carrying value of the </w:t>
      </w:r>
      <w:proofErr w:type="spellStart"/>
      <w:r w:rsidRPr="002013DE">
        <w:rPr>
          <w:rFonts w:asciiTheme="minorHAnsi" w:hAnsiTheme="minorHAnsi" w:cstheme="minorHAnsi"/>
          <w:bCs/>
          <w:sz w:val="20"/>
          <w:szCs w:val="20"/>
        </w:rPr>
        <w:t>Islandmagee</w:t>
      </w:r>
      <w:proofErr w:type="spellEnd"/>
      <w:r w:rsidRPr="002013DE">
        <w:rPr>
          <w:rFonts w:asciiTheme="minorHAnsi" w:hAnsiTheme="minorHAnsi" w:cstheme="minorHAnsi"/>
          <w:bCs/>
          <w:sz w:val="20"/>
          <w:szCs w:val="20"/>
        </w:rPr>
        <w:t xml:space="preserve"> gas storage project to have been impaired in the last </w:t>
      </w:r>
      <w:r w:rsidR="00515397">
        <w:rPr>
          <w:rFonts w:asciiTheme="minorHAnsi" w:hAnsiTheme="minorHAnsi" w:cstheme="minorHAnsi"/>
          <w:bCs/>
          <w:sz w:val="20"/>
          <w:szCs w:val="20"/>
        </w:rPr>
        <w:t>twelve</w:t>
      </w:r>
      <w:r w:rsidRPr="002013DE">
        <w:rPr>
          <w:rFonts w:asciiTheme="minorHAnsi" w:hAnsiTheme="minorHAnsi" w:cstheme="minorHAnsi"/>
          <w:bCs/>
          <w:sz w:val="20"/>
          <w:szCs w:val="20"/>
        </w:rPr>
        <w:t xml:space="preserve"> months. As announced to the market on </w:t>
      </w:r>
      <w:r w:rsidR="00515397">
        <w:rPr>
          <w:rFonts w:asciiTheme="minorHAnsi" w:hAnsiTheme="minorHAnsi" w:cstheme="minorHAnsi"/>
          <w:bCs/>
          <w:sz w:val="20"/>
          <w:szCs w:val="20"/>
        </w:rPr>
        <w:t xml:space="preserve">13 </w:t>
      </w:r>
      <w:proofErr w:type="spellStart"/>
      <w:r w:rsidR="00515397">
        <w:rPr>
          <w:rFonts w:asciiTheme="minorHAnsi" w:hAnsiTheme="minorHAnsi" w:cstheme="minorHAnsi"/>
          <w:bCs/>
          <w:sz w:val="20"/>
          <w:szCs w:val="20"/>
        </w:rPr>
        <w:t>Octber</w:t>
      </w:r>
      <w:proofErr w:type="spellEnd"/>
      <w:r w:rsidRPr="002013DE">
        <w:rPr>
          <w:rFonts w:asciiTheme="minorHAnsi" w:hAnsiTheme="minorHAnsi" w:cstheme="minorHAnsi"/>
          <w:bCs/>
          <w:sz w:val="20"/>
          <w:szCs w:val="20"/>
        </w:rPr>
        <w:t xml:space="preserve"> 2021, the Department of Agriculture, Energy and Rural Affairs (DAERA) </w:t>
      </w:r>
      <w:r w:rsidR="009D6379">
        <w:rPr>
          <w:rFonts w:asciiTheme="minorHAnsi" w:hAnsiTheme="minorHAnsi" w:cstheme="minorHAnsi"/>
          <w:bCs/>
          <w:sz w:val="20"/>
          <w:szCs w:val="20"/>
        </w:rPr>
        <w:t xml:space="preserve">has formally issued a draft marine licence </w:t>
      </w:r>
      <w:r w:rsidR="005B32D5">
        <w:rPr>
          <w:rFonts w:asciiTheme="minorHAnsi" w:hAnsiTheme="minorHAnsi" w:cstheme="minorHAnsi"/>
          <w:bCs/>
          <w:sz w:val="20"/>
          <w:szCs w:val="20"/>
        </w:rPr>
        <w:t xml:space="preserve">along with certain conditions that the Company has accepted. </w:t>
      </w:r>
      <w:r w:rsidR="00F20F8D">
        <w:rPr>
          <w:rFonts w:asciiTheme="minorHAnsi" w:hAnsiTheme="minorHAnsi" w:cstheme="minorHAnsi"/>
          <w:bCs/>
          <w:sz w:val="20"/>
          <w:szCs w:val="20"/>
        </w:rPr>
        <w:t>Once</w:t>
      </w:r>
      <w:r w:rsidRPr="002013DE">
        <w:rPr>
          <w:rFonts w:asciiTheme="minorHAnsi" w:hAnsiTheme="minorHAnsi" w:cstheme="minorHAnsi"/>
          <w:bCs/>
          <w:sz w:val="20"/>
          <w:szCs w:val="20"/>
        </w:rPr>
        <w:t xml:space="preserve"> the marine licence</w:t>
      </w:r>
      <w:r w:rsidR="00F20F8D">
        <w:rPr>
          <w:rFonts w:asciiTheme="minorHAnsi" w:hAnsiTheme="minorHAnsi" w:cstheme="minorHAnsi"/>
          <w:bCs/>
          <w:sz w:val="20"/>
          <w:szCs w:val="20"/>
        </w:rPr>
        <w:t xml:space="preserve"> has</w:t>
      </w:r>
      <w:r w:rsidRPr="002013DE">
        <w:rPr>
          <w:rFonts w:asciiTheme="minorHAnsi" w:hAnsiTheme="minorHAnsi" w:cstheme="minorHAnsi"/>
          <w:bCs/>
          <w:sz w:val="20"/>
          <w:szCs w:val="20"/>
        </w:rPr>
        <w:t xml:space="preserve"> be</w:t>
      </w:r>
      <w:r w:rsidR="00F20F8D">
        <w:rPr>
          <w:rFonts w:asciiTheme="minorHAnsi" w:hAnsiTheme="minorHAnsi" w:cstheme="minorHAnsi"/>
          <w:bCs/>
          <w:sz w:val="20"/>
          <w:szCs w:val="20"/>
        </w:rPr>
        <w:t>en</w:t>
      </w:r>
      <w:r w:rsidRPr="002013DE">
        <w:rPr>
          <w:rFonts w:asciiTheme="minorHAnsi" w:hAnsiTheme="minorHAnsi" w:cstheme="minorHAnsi"/>
          <w:bCs/>
          <w:sz w:val="20"/>
          <w:szCs w:val="20"/>
        </w:rPr>
        <w:t xml:space="preserve"> formally granted, the Company will seek to attract new investors at the project level and proceed to Final Investment Decision. Finally, management runs a quarterly update on the continued economic viability of the gas storage project. The fundamentals in the UK gas market have not changed adversely and the project continues to be economically robust.</w:t>
      </w:r>
    </w:p>
    <w:p w14:paraId="47E33F7A" w14:textId="5F435C78" w:rsidR="00487256" w:rsidRPr="00DB2968" w:rsidRDefault="00487256" w:rsidP="00487256">
      <w:pPr>
        <w:rPr>
          <w:rFonts w:asciiTheme="minorHAnsi" w:hAnsiTheme="minorHAnsi" w:cstheme="minorHAnsi"/>
          <w:sz w:val="20"/>
          <w:szCs w:val="20"/>
        </w:rPr>
      </w:pPr>
    </w:p>
    <w:p w14:paraId="7406F3EC" w14:textId="77777777" w:rsidR="00487256" w:rsidRPr="00DB2968" w:rsidRDefault="00487256" w:rsidP="00487256">
      <w:pPr>
        <w:adjustRightInd w:val="0"/>
        <w:spacing w:after="100"/>
        <w:ind w:left="580" w:hanging="13"/>
        <w:jc w:val="both"/>
        <w:rPr>
          <w:rFonts w:asciiTheme="minorHAnsi" w:hAnsiTheme="minorHAnsi" w:cstheme="minorHAnsi"/>
          <w:b/>
          <w:sz w:val="20"/>
          <w:szCs w:val="20"/>
        </w:rPr>
      </w:pPr>
      <w:r w:rsidRPr="00DB2968">
        <w:rPr>
          <w:rFonts w:asciiTheme="minorHAnsi" w:hAnsiTheme="minorHAnsi" w:cstheme="minorHAnsi"/>
          <w:b/>
          <w:sz w:val="20"/>
          <w:szCs w:val="20"/>
        </w:rPr>
        <w:t>Intangible assets</w:t>
      </w:r>
    </w:p>
    <w:p w14:paraId="49C8A550" w14:textId="77777777" w:rsidR="00487256" w:rsidRPr="00DB2968" w:rsidRDefault="00487256" w:rsidP="00487256">
      <w:pPr>
        <w:ind w:left="580" w:right="1191" w:hanging="13"/>
        <w:jc w:val="both"/>
        <w:rPr>
          <w:rFonts w:asciiTheme="minorHAnsi" w:hAnsiTheme="minorHAnsi" w:cstheme="minorHAnsi"/>
          <w:sz w:val="20"/>
          <w:szCs w:val="20"/>
        </w:rPr>
      </w:pPr>
      <w:r w:rsidRPr="00DB2968">
        <w:rPr>
          <w:rFonts w:asciiTheme="minorHAnsi" w:hAnsiTheme="minorHAnsi" w:cstheme="minorHAnsi"/>
          <w:sz w:val="20"/>
          <w:szCs w:val="20"/>
        </w:rPr>
        <w:t xml:space="preserve">Separately acquired trademarks are shown at historical cost except that as disclosed in the accounting policies certain items are shown at fair value. </w:t>
      </w:r>
    </w:p>
    <w:p w14:paraId="317ABC37" w14:textId="77777777" w:rsidR="00487256" w:rsidRPr="00DB2968" w:rsidRDefault="00487256" w:rsidP="00487256">
      <w:pPr>
        <w:ind w:left="580" w:right="1191" w:hanging="13"/>
        <w:jc w:val="both"/>
        <w:rPr>
          <w:rFonts w:asciiTheme="minorHAnsi" w:hAnsiTheme="minorHAnsi" w:cstheme="minorHAnsi"/>
          <w:sz w:val="20"/>
          <w:szCs w:val="20"/>
        </w:rPr>
      </w:pPr>
      <w:r w:rsidRPr="00DB2968">
        <w:rPr>
          <w:rFonts w:asciiTheme="minorHAnsi" w:hAnsiTheme="minorHAnsi" w:cstheme="minorHAnsi"/>
          <w:sz w:val="20"/>
          <w:szCs w:val="20"/>
        </w:rPr>
        <w:br/>
        <w:t>Trademarks and other intangible assets have a finite useful life and are carried at cost less accumulated amortisation and any accumulated impairment losses.</w:t>
      </w:r>
    </w:p>
    <w:p w14:paraId="4C934EC4" w14:textId="77777777" w:rsidR="00487256" w:rsidRPr="00DB2968" w:rsidRDefault="00487256" w:rsidP="00487256">
      <w:pPr>
        <w:ind w:left="580" w:right="1191" w:hanging="13"/>
        <w:jc w:val="both"/>
        <w:rPr>
          <w:rFonts w:asciiTheme="minorHAnsi" w:hAnsiTheme="minorHAnsi" w:cstheme="minorHAnsi"/>
          <w:sz w:val="20"/>
          <w:szCs w:val="20"/>
        </w:rPr>
      </w:pPr>
    </w:p>
    <w:p w14:paraId="4A41854D" w14:textId="77777777" w:rsidR="00487256" w:rsidRPr="00DB2968" w:rsidRDefault="00487256" w:rsidP="00487256">
      <w:pPr>
        <w:adjustRightInd w:val="0"/>
        <w:spacing w:after="100"/>
        <w:ind w:left="580" w:hanging="13"/>
        <w:jc w:val="both"/>
        <w:rPr>
          <w:rFonts w:asciiTheme="minorHAnsi" w:hAnsiTheme="minorHAnsi" w:cstheme="minorHAnsi"/>
          <w:b/>
          <w:sz w:val="20"/>
          <w:szCs w:val="20"/>
        </w:rPr>
      </w:pPr>
      <w:r w:rsidRPr="00DB2968">
        <w:rPr>
          <w:rFonts w:asciiTheme="minorHAnsi" w:hAnsiTheme="minorHAnsi" w:cstheme="minorHAnsi"/>
          <w:b/>
          <w:sz w:val="20"/>
          <w:szCs w:val="20"/>
        </w:rPr>
        <w:t>Amortisation</w:t>
      </w:r>
    </w:p>
    <w:p w14:paraId="4EA3BB7B"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r w:rsidRPr="00DB2968">
        <w:rPr>
          <w:rFonts w:asciiTheme="minorHAnsi" w:hAnsiTheme="minorHAnsi" w:cstheme="minorHAnsi"/>
          <w:sz w:val="20"/>
          <w:szCs w:val="20"/>
        </w:rPr>
        <w:t>Amortisation is provided on intangible assets so as to write off the cost, less any estimated residual value, over their useful life as follows:</w:t>
      </w:r>
    </w:p>
    <w:p w14:paraId="7A5C35B9"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p>
    <w:tbl>
      <w:tblPr>
        <w:tblW w:w="8946" w:type="dxa"/>
        <w:tblInd w:w="567" w:type="dxa"/>
        <w:tblLayout w:type="fixed"/>
        <w:tblCellMar>
          <w:left w:w="0" w:type="dxa"/>
          <w:right w:w="0" w:type="dxa"/>
        </w:tblCellMar>
        <w:tblLook w:val="0000" w:firstRow="0" w:lastRow="0" w:firstColumn="0" w:lastColumn="0" w:noHBand="0" w:noVBand="0"/>
      </w:tblPr>
      <w:tblGrid>
        <w:gridCol w:w="5543"/>
        <w:gridCol w:w="3403"/>
      </w:tblGrid>
      <w:tr w:rsidR="00487256" w:rsidRPr="00DB2968" w14:paraId="01AB3C19" w14:textId="77777777" w:rsidTr="00487256">
        <w:tc>
          <w:tcPr>
            <w:tcW w:w="5543" w:type="dxa"/>
            <w:tcBorders>
              <w:top w:val="nil"/>
              <w:left w:val="nil"/>
              <w:bottom w:val="nil"/>
              <w:right w:val="nil"/>
            </w:tcBorders>
            <w:shd w:val="clear" w:color="auto" w:fill="FFFFFF"/>
            <w:vAlign w:val="bottom"/>
          </w:tcPr>
          <w:p w14:paraId="3E85E475" w14:textId="77777777" w:rsidR="00487256" w:rsidRPr="00DB2968" w:rsidRDefault="00487256" w:rsidP="00487256">
            <w:pPr>
              <w:adjustRightInd w:val="0"/>
              <w:spacing w:after="100"/>
              <w:ind w:left="-678" w:firstLine="720"/>
              <w:jc w:val="both"/>
              <w:rPr>
                <w:rFonts w:asciiTheme="minorHAnsi" w:hAnsiTheme="minorHAnsi" w:cstheme="minorHAnsi"/>
                <w:b/>
                <w:bCs/>
                <w:sz w:val="20"/>
                <w:szCs w:val="20"/>
              </w:rPr>
            </w:pPr>
            <w:r w:rsidRPr="00DB2968">
              <w:rPr>
                <w:rFonts w:asciiTheme="minorHAnsi" w:hAnsiTheme="minorHAnsi" w:cstheme="minorHAnsi"/>
                <w:b/>
                <w:sz w:val="20"/>
                <w:szCs w:val="20"/>
              </w:rPr>
              <w:t>Asset class</w:t>
            </w:r>
          </w:p>
        </w:tc>
        <w:tc>
          <w:tcPr>
            <w:tcW w:w="3403" w:type="dxa"/>
            <w:tcBorders>
              <w:top w:val="nil"/>
              <w:left w:val="nil"/>
              <w:bottom w:val="nil"/>
              <w:right w:val="nil"/>
            </w:tcBorders>
            <w:shd w:val="clear" w:color="auto" w:fill="FFFFFF"/>
            <w:vAlign w:val="bottom"/>
          </w:tcPr>
          <w:p w14:paraId="319A25DC" w14:textId="77777777" w:rsidR="00487256" w:rsidRPr="00DB2968" w:rsidRDefault="00487256" w:rsidP="00487256">
            <w:pPr>
              <w:adjustRightInd w:val="0"/>
              <w:spacing w:after="100"/>
              <w:jc w:val="both"/>
              <w:rPr>
                <w:rFonts w:asciiTheme="minorHAnsi" w:hAnsiTheme="minorHAnsi" w:cstheme="minorHAnsi"/>
                <w:b/>
                <w:bCs/>
                <w:sz w:val="20"/>
                <w:szCs w:val="20"/>
              </w:rPr>
            </w:pPr>
            <w:r w:rsidRPr="00DB2968">
              <w:rPr>
                <w:rFonts w:asciiTheme="minorHAnsi" w:hAnsiTheme="minorHAnsi" w:cstheme="minorHAnsi"/>
                <w:b/>
                <w:sz w:val="20"/>
                <w:szCs w:val="20"/>
              </w:rPr>
              <w:t>Amortisation method and rate</w:t>
            </w:r>
          </w:p>
        </w:tc>
      </w:tr>
      <w:tr w:rsidR="00487256" w:rsidRPr="00DB2968" w14:paraId="2FDF165E" w14:textId="77777777" w:rsidTr="00487256">
        <w:tc>
          <w:tcPr>
            <w:tcW w:w="5543" w:type="dxa"/>
            <w:tcBorders>
              <w:top w:val="nil"/>
              <w:left w:val="nil"/>
              <w:bottom w:val="nil"/>
              <w:right w:val="nil"/>
            </w:tcBorders>
            <w:shd w:val="clear" w:color="auto" w:fill="FFFFFF"/>
            <w:vAlign w:val="center"/>
          </w:tcPr>
          <w:p w14:paraId="212D3006"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Artefacts</w:t>
            </w:r>
          </w:p>
        </w:tc>
        <w:tc>
          <w:tcPr>
            <w:tcW w:w="3403" w:type="dxa"/>
            <w:tcBorders>
              <w:top w:val="nil"/>
              <w:left w:val="nil"/>
              <w:bottom w:val="nil"/>
              <w:right w:val="nil"/>
            </w:tcBorders>
            <w:shd w:val="clear" w:color="auto" w:fill="FFFFFF"/>
            <w:vAlign w:val="center"/>
          </w:tcPr>
          <w:p w14:paraId="5D981EB6"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20 years - Straight line basis</w:t>
            </w:r>
          </w:p>
        </w:tc>
      </w:tr>
      <w:tr w:rsidR="00487256" w:rsidRPr="00DB2968" w14:paraId="39675DCB" w14:textId="77777777" w:rsidTr="00487256">
        <w:tc>
          <w:tcPr>
            <w:tcW w:w="5543" w:type="dxa"/>
            <w:tcBorders>
              <w:top w:val="nil"/>
              <w:left w:val="nil"/>
              <w:bottom w:val="nil"/>
              <w:right w:val="nil"/>
            </w:tcBorders>
            <w:shd w:val="clear" w:color="auto" w:fill="FFFFFF"/>
            <w:vAlign w:val="center"/>
          </w:tcPr>
          <w:p w14:paraId="1C69DD5B"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Trademarks</w:t>
            </w:r>
          </w:p>
        </w:tc>
        <w:tc>
          <w:tcPr>
            <w:tcW w:w="3403" w:type="dxa"/>
            <w:tcBorders>
              <w:top w:val="nil"/>
              <w:left w:val="nil"/>
              <w:bottom w:val="nil"/>
              <w:right w:val="nil"/>
            </w:tcBorders>
            <w:shd w:val="clear" w:color="auto" w:fill="FFFFFF"/>
            <w:vAlign w:val="center"/>
          </w:tcPr>
          <w:p w14:paraId="245DB14B"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20 years - Straight line basis</w:t>
            </w:r>
          </w:p>
        </w:tc>
      </w:tr>
    </w:tbl>
    <w:p w14:paraId="4D85FC87"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p>
    <w:p w14:paraId="2835A155"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p>
    <w:p w14:paraId="2C7B0F00" w14:textId="77777777" w:rsidR="00487256" w:rsidRPr="00DB2968" w:rsidRDefault="00487256" w:rsidP="00487256">
      <w:pPr>
        <w:adjustRightInd w:val="0"/>
        <w:spacing w:after="100"/>
        <w:ind w:left="580" w:hanging="13"/>
        <w:jc w:val="both"/>
        <w:rPr>
          <w:rFonts w:asciiTheme="minorHAnsi" w:hAnsiTheme="minorHAnsi" w:cstheme="minorHAnsi"/>
          <w:b/>
          <w:sz w:val="20"/>
          <w:szCs w:val="20"/>
        </w:rPr>
      </w:pPr>
      <w:r w:rsidRPr="00DB2968">
        <w:rPr>
          <w:rFonts w:asciiTheme="minorHAnsi" w:hAnsiTheme="minorHAnsi" w:cstheme="minorHAnsi"/>
          <w:b/>
          <w:sz w:val="20"/>
          <w:szCs w:val="20"/>
        </w:rPr>
        <w:t>Tangible assets</w:t>
      </w:r>
    </w:p>
    <w:p w14:paraId="07FB33AB" w14:textId="77777777" w:rsidR="00487256" w:rsidRPr="00DB2968" w:rsidRDefault="00487256" w:rsidP="00487256">
      <w:pPr>
        <w:ind w:left="567" w:right="1190"/>
        <w:rPr>
          <w:rFonts w:asciiTheme="minorHAnsi" w:hAnsiTheme="minorHAnsi" w:cstheme="minorHAnsi"/>
          <w:sz w:val="20"/>
          <w:szCs w:val="20"/>
        </w:rPr>
      </w:pPr>
      <w:r w:rsidRPr="00DB2968">
        <w:rPr>
          <w:rFonts w:asciiTheme="minorHAnsi" w:hAnsiTheme="minorHAnsi" w:cstheme="minorHAnsi"/>
          <w:sz w:val="20"/>
          <w:szCs w:val="20"/>
        </w:rPr>
        <w:t xml:space="preserve">Tangible assets are stated in the statement of financial position at cost, less any subsequent accumulated depreciation and subsequent accumulated impairment losses. </w:t>
      </w:r>
      <w:r w:rsidRPr="00DB2968">
        <w:rPr>
          <w:rFonts w:asciiTheme="minorHAnsi" w:hAnsiTheme="minorHAnsi" w:cstheme="minorHAnsi"/>
          <w:sz w:val="20"/>
          <w:szCs w:val="20"/>
        </w:rPr>
        <w:br/>
      </w:r>
      <w:r w:rsidRPr="00DB2968">
        <w:rPr>
          <w:rFonts w:asciiTheme="minorHAnsi" w:hAnsiTheme="minorHAnsi" w:cstheme="minorHAnsi"/>
          <w:sz w:val="20"/>
          <w:szCs w:val="20"/>
        </w:rPr>
        <w:br/>
        <w:t>The cost of tangible assets includes directly attributable incremental costs incurred in their acquisition and installation.</w:t>
      </w:r>
    </w:p>
    <w:p w14:paraId="4AF9D13B" w14:textId="77777777" w:rsidR="00487256" w:rsidRPr="00DB2968" w:rsidRDefault="00487256" w:rsidP="00487256">
      <w:pPr>
        <w:adjustRightInd w:val="0"/>
        <w:spacing w:after="100"/>
        <w:ind w:left="567"/>
        <w:jc w:val="both"/>
        <w:rPr>
          <w:rFonts w:asciiTheme="minorHAnsi" w:hAnsiTheme="minorHAnsi" w:cstheme="minorHAnsi"/>
          <w:b/>
          <w:sz w:val="20"/>
          <w:szCs w:val="20"/>
        </w:rPr>
      </w:pPr>
    </w:p>
    <w:p w14:paraId="6CDCA16B" w14:textId="77777777" w:rsidR="00487256" w:rsidRPr="00DB2968" w:rsidRDefault="00487256" w:rsidP="00487256">
      <w:pPr>
        <w:adjustRightInd w:val="0"/>
        <w:spacing w:after="100"/>
        <w:ind w:left="567"/>
        <w:jc w:val="both"/>
        <w:rPr>
          <w:rFonts w:asciiTheme="minorHAnsi" w:hAnsiTheme="minorHAnsi" w:cstheme="minorHAnsi"/>
          <w:b/>
          <w:sz w:val="20"/>
          <w:szCs w:val="20"/>
        </w:rPr>
      </w:pPr>
    </w:p>
    <w:p w14:paraId="67296FAB" w14:textId="77777777" w:rsidR="00487256" w:rsidRPr="00DB2968" w:rsidRDefault="00487256" w:rsidP="00487256">
      <w:pPr>
        <w:adjustRightInd w:val="0"/>
        <w:spacing w:after="100"/>
        <w:ind w:left="580" w:hanging="13"/>
        <w:jc w:val="both"/>
        <w:rPr>
          <w:rFonts w:asciiTheme="minorHAnsi" w:hAnsiTheme="minorHAnsi" w:cstheme="minorHAnsi"/>
          <w:b/>
          <w:sz w:val="20"/>
          <w:szCs w:val="20"/>
        </w:rPr>
      </w:pPr>
      <w:r w:rsidRPr="00DB2968">
        <w:rPr>
          <w:rFonts w:asciiTheme="minorHAnsi" w:hAnsiTheme="minorHAnsi" w:cstheme="minorHAnsi"/>
          <w:b/>
          <w:sz w:val="20"/>
          <w:szCs w:val="20"/>
        </w:rPr>
        <w:t>Depreciation</w:t>
      </w:r>
    </w:p>
    <w:p w14:paraId="3BADDF3E"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r w:rsidRPr="00DB2968">
        <w:rPr>
          <w:rFonts w:asciiTheme="minorHAnsi" w:hAnsiTheme="minorHAnsi" w:cstheme="minorHAnsi"/>
          <w:sz w:val="20"/>
          <w:szCs w:val="20"/>
        </w:rPr>
        <w:t>Depreciation is charged so as to write off the cost of assets, other than land and properties under construction over their estimated useful lives, as follows:</w:t>
      </w:r>
    </w:p>
    <w:p w14:paraId="185A2B7C" w14:textId="77777777" w:rsidR="00487256" w:rsidRPr="00DB2968" w:rsidRDefault="00487256" w:rsidP="00487256">
      <w:pPr>
        <w:adjustRightInd w:val="0"/>
        <w:spacing w:after="100"/>
        <w:ind w:left="567" w:right="1198"/>
        <w:jc w:val="both"/>
        <w:rPr>
          <w:rFonts w:asciiTheme="minorHAnsi" w:hAnsiTheme="minorHAnsi" w:cstheme="minorHAnsi"/>
          <w:sz w:val="20"/>
          <w:szCs w:val="20"/>
        </w:rPr>
      </w:pPr>
    </w:p>
    <w:tbl>
      <w:tblPr>
        <w:tblW w:w="8946" w:type="dxa"/>
        <w:tblInd w:w="567" w:type="dxa"/>
        <w:tblLayout w:type="fixed"/>
        <w:tblCellMar>
          <w:left w:w="0" w:type="dxa"/>
          <w:right w:w="0" w:type="dxa"/>
        </w:tblCellMar>
        <w:tblLook w:val="0000" w:firstRow="0" w:lastRow="0" w:firstColumn="0" w:lastColumn="0" w:noHBand="0" w:noVBand="0"/>
      </w:tblPr>
      <w:tblGrid>
        <w:gridCol w:w="5543"/>
        <w:gridCol w:w="3403"/>
      </w:tblGrid>
      <w:tr w:rsidR="00487256" w:rsidRPr="00DB2968" w14:paraId="41BCE392" w14:textId="77777777" w:rsidTr="00487256">
        <w:tc>
          <w:tcPr>
            <w:tcW w:w="5543" w:type="dxa"/>
            <w:tcBorders>
              <w:top w:val="nil"/>
              <w:left w:val="nil"/>
              <w:bottom w:val="nil"/>
              <w:right w:val="nil"/>
            </w:tcBorders>
            <w:shd w:val="clear" w:color="auto" w:fill="FFFFFF"/>
            <w:vAlign w:val="bottom"/>
          </w:tcPr>
          <w:p w14:paraId="56430558" w14:textId="77777777" w:rsidR="00487256" w:rsidRPr="00DB2968" w:rsidRDefault="00487256" w:rsidP="00487256">
            <w:pPr>
              <w:adjustRightInd w:val="0"/>
              <w:spacing w:after="100"/>
              <w:ind w:left="-678" w:firstLine="720"/>
              <w:jc w:val="both"/>
              <w:rPr>
                <w:rFonts w:asciiTheme="minorHAnsi" w:hAnsiTheme="minorHAnsi" w:cstheme="minorHAnsi"/>
                <w:sz w:val="20"/>
                <w:szCs w:val="20"/>
              </w:rPr>
            </w:pPr>
            <w:r w:rsidRPr="00DB2968">
              <w:rPr>
                <w:rFonts w:asciiTheme="minorHAnsi" w:hAnsiTheme="minorHAnsi" w:cstheme="minorHAnsi"/>
                <w:b/>
                <w:sz w:val="20"/>
                <w:szCs w:val="20"/>
              </w:rPr>
              <w:t>Asset class</w:t>
            </w:r>
          </w:p>
        </w:tc>
        <w:tc>
          <w:tcPr>
            <w:tcW w:w="3403" w:type="dxa"/>
            <w:tcBorders>
              <w:top w:val="nil"/>
              <w:left w:val="nil"/>
              <w:bottom w:val="nil"/>
              <w:right w:val="nil"/>
            </w:tcBorders>
            <w:shd w:val="clear" w:color="auto" w:fill="FFFFFF"/>
            <w:vAlign w:val="bottom"/>
          </w:tcPr>
          <w:p w14:paraId="6430DDE1" w14:textId="77777777" w:rsidR="00487256" w:rsidRPr="00DB2968" w:rsidRDefault="00487256" w:rsidP="00487256">
            <w:pPr>
              <w:adjustRightInd w:val="0"/>
              <w:spacing w:after="100"/>
              <w:jc w:val="both"/>
              <w:rPr>
                <w:rFonts w:asciiTheme="minorHAnsi" w:hAnsiTheme="minorHAnsi" w:cstheme="minorHAnsi"/>
                <w:b/>
                <w:sz w:val="20"/>
                <w:szCs w:val="20"/>
              </w:rPr>
            </w:pPr>
            <w:r w:rsidRPr="00DB2968">
              <w:rPr>
                <w:rFonts w:asciiTheme="minorHAnsi" w:hAnsiTheme="minorHAnsi" w:cstheme="minorHAnsi"/>
                <w:b/>
                <w:sz w:val="20"/>
                <w:szCs w:val="20"/>
              </w:rPr>
              <w:t>Depreciation method and rate</w:t>
            </w:r>
          </w:p>
        </w:tc>
      </w:tr>
      <w:tr w:rsidR="00487256" w:rsidRPr="00DB2968" w14:paraId="4D62B8D2" w14:textId="77777777" w:rsidTr="00487256">
        <w:tc>
          <w:tcPr>
            <w:tcW w:w="5543" w:type="dxa"/>
            <w:tcBorders>
              <w:top w:val="nil"/>
              <w:left w:val="nil"/>
              <w:bottom w:val="nil"/>
              <w:right w:val="nil"/>
            </w:tcBorders>
            <w:shd w:val="clear" w:color="auto" w:fill="FFFFFF"/>
            <w:vAlign w:val="center"/>
          </w:tcPr>
          <w:p w14:paraId="067321EC"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Leasehold land and buildings</w:t>
            </w:r>
          </w:p>
        </w:tc>
        <w:tc>
          <w:tcPr>
            <w:tcW w:w="3403" w:type="dxa"/>
            <w:tcBorders>
              <w:top w:val="nil"/>
              <w:left w:val="nil"/>
              <w:bottom w:val="nil"/>
              <w:right w:val="nil"/>
            </w:tcBorders>
            <w:shd w:val="clear" w:color="auto" w:fill="FFFFFF"/>
            <w:vAlign w:val="center"/>
          </w:tcPr>
          <w:p w14:paraId="09E911F6"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50 years - Straight line basis</w:t>
            </w:r>
          </w:p>
        </w:tc>
      </w:tr>
      <w:tr w:rsidR="00487256" w:rsidRPr="00DB2968" w14:paraId="397AB33C" w14:textId="77777777" w:rsidTr="00487256">
        <w:tc>
          <w:tcPr>
            <w:tcW w:w="5543" w:type="dxa"/>
            <w:tcBorders>
              <w:top w:val="nil"/>
              <w:left w:val="nil"/>
              <w:bottom w:val="nil"/>
              <w:right w:val="nil"/>
            </w:tcBorders>
            <w:shd w:val="clear" w:color="auto" w:fill="FFFFFF"/>
            <w:vAlign w:val="center"/>
          </w:tcPr>
          <w:p w14:paraId="5F5941CE"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Modular buildings</w:t>
            </w:r>
          </w:p>
        </w:tc>
        <w:tc>
          <w:tcPr>
            <w:tcW w:w="3403" w:type="dxa"/>
            <w:tcBorders>
              <w:top w:val="nil"/>
              <w:left w:val="nil"/>
              <w:bottom w:val="nil"/>
              <w:right w:val="nil"/>
            </w:tcBorders>
            <w:shd w:val="clear" w:color="auto" w:fill="FFFFFF"/>
            <w:vAlign w:val="center"/>
          </w:tcPr>
          <w:p w14:paraId="7E3E5CCA"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20 years - Straight line basis</w:t>
            </w:r>
          </w:p>
        </w:tc>
      </w:tr>
      <w:tr w:rsidR="00487256" w:rsidRPr="00DB2968" w14:paraId="6DC731E1" w14:textId="77777777" w:rsidTr="00487256">
        <w:tc>
          <w:tcPr>
            <w:tcW w:w="5543" w:type="dxa"/>
            <w:tcBorders>
              <w:top w:val="nil"/>
              <w:left w:val="nil"/>
              <w:bottom w:val="nil"/>
              <w:right w:val="nil"/>
            </w:tcBorders>
            <w:shd w:val="clear" w:color="auto" w:fill="FFFFFF"/>
            <w:vAlign w:val="center"/>
          </w:tcPr>
          <w:p w14:paraId="333AD665"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Plant and machinery</w:t>
            </w:r>
          </w:p>
        </w:tc>
        <w:tc>
          <w:tcPr>
            <w:tcW w:w="3403" w:type="dxa"/>
            <w:tcBorders>
              <w:top w:val="nil"/>
              <w:left w:val="nil"/>
              <w:bottom w:val="nil"/>
              <w:right w:val="nil"/>
            </w:tcBorders>
            <w:shd w:val="clear" w:color="auto" w:fill="FFFFFF"/>
            <w:vAlign w:val="center"/>
          </w:tcPr>
          <w:p w14:paraId="733FB31C"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10 years - Straight line basis</w:t>
            </w:r>
          </w:p>
        </w:tc>
      </w:tr>
      <w:tr w:rsidR="00487256" w:rsidRPr="00DB2968" w14:paraId="0E7E4FF7" w14:textId="77777777" w:rsidTr="00487256">
        <w:tc>
          <w:tcPr>
            <w:tcW w:w="5543" w:type="dxa"/>
            <w:tcBorders>
              <w:top w:val="nil"/>
              <w:left w:val="nil"/>
              <w:bottom w:val="nil"/>
              <w:right w:val="nil"/>
            </w:tcBorders>
            <w:shd w:val="clear" w:color="auto" w:fill="FFFFFF"/>
            <w:vAlign w:val="center"/>
          </w:tcPr>
          <w:p w14:paraId="0DD1768F"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Motor vehicles</w:t>
            </w:r>
          </w:p>
        </w:tc>
        <w:tc>
          <w:tcPr>
            <w:tcW w:w="3403" w:type="dxa"/>
            <w:tcBorders>
              <w:top w:val="nil"/>
              <w:left w:val="nil"/>
              <w:bottom w:val="nil"/>
              <w:right w:val="nil"/>
            </w:tcBorders>
            <w:shd w:val="clear" w:color="auto" w:fill="FFFFFF"/>
            <w:vAlign w:val="center"/>
          </w:tcPr>
          <w:p w14:paraId="37BDFC21"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5 years - Straight line basis</w:t>
            </w:r>
          </w:p>
        </w:tc>
      </w:tr>
      <w:tr w:rsidR="00487256" w:rsidRPr="00DB2968" w14:paraId="4CB1AD73" w14:textId="77777777" w:rsidTr="00487256">
        <w:tc>
          <w:tcPr>
            <w:tcW w:w="5543" w:type="dxa"/>
            <w:tcBorders>
              <w:top w:val="nil"/>
              <w:left w:val="nil"/>
              <w:bottom w:val="nil"/>
              <w:right w:val="nil"/>
            </w:tcBorders>
            <w:shd w:val="clear" w:color="auto" w:fill="FFFFFF"/>
            <w:vAlign w:val="center"/>
          </w:tcPr>
          <w:p w14:paraId="1ECE5F45"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Office furniture and equipment</w:t>
            </w:r>
          </w:p>
        </w:tc>
        <w:tc>
          <w:tcPr>
            <w:tcW w:w="3403" w:type="dxa"/>
            <w:tcBorders>
              <w:top w:val="nil"/>
              <w:left w:val="nil"/>
              <w:bottom w:val="nil"/>
              <w:right w:val="nil"/>
            </w:tcBorders>
            <w:shd w:val="clear" w:color="auto" w:fill="FFFFFF"/>
            <w:vAlign w:val="center"/>
          </w:tcPr>
          <w:p w14:paraId="6E2997CE"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5 years - Straight line basis</w:t>
            </w:r>
          </w:p>
        </w:tc>
      </w:tr>
      <w:tr w:rsidR="00487256" w:rsidRPr="00DB2968" w14:paraId="416D759F" w14:textId="77777777" w:rsidTr="00487256">
        <w:tc>
          <w:tcPr>
            <w:tcW w:w="5543" w:type="dxa"/>
            <w:tcBorders>
              <w:top w:val="nil"/>
              <w:left w:val="nil"/>
              <w:bottom w:val="nil"/>
              <w:right w:val="nil"/>
            </w:tcBorders>
            <w:shd w:val="clear" w:color="auto" w:fill="FFFFFF"/>
            <w:vAlign w:val="center"/>
          </w:tcPr>
          <w:p w14:paraId="5757F91B"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Computer equipment</w:t>
            </w:r>
          </w:p>
        </w:tc>
        <w:tc>
          <w:tcPr>
            <w:tcW w:w="3403" w:type="dxa"/>
            <w:tcBorders>
              <w:top w:val="nil"/>
              <w:left w:val="nil"/>
              <w:bottom w:val="nil"/>
              <w:right w:val="nil"/>
            </w:tcBorders>
            <w:shd w:val="clear" w:color="auto" w:fill="FFFFFF"/>
            <w:vAlign w:val="center"/>
          </w:tcPr>
          <w:p w14:paraId="64FC62F6" w14:textId="77777777" w:rsidR="00487256" w:rsidRPr="00DB2968" w:rsidRDefault="00487256" w:rsidP="00487256">
            <w:pPr>
              <w:adjustRightInd w:val="0"/>
              <w:spacing w:before="28" w:after="28"/>
              <w:rPr>
                <w:rFonts w:asciiTheme="minorHAnsi" w:hAnsiTheme="minorHAnsi" w:cstheme="minorHAnsi"/>
                <w:sz w:val="20"/>
                <w:szCs w:val="20"/>
              </w:rPr>
            </w:pPr>
            <w:r w:rsidRPr="00DB2968">
              <w:rPr>
                <w:rFonts w:asciiTheme="minorHAnsi" w:hAnsiTheme="minorHAnsi" w:cstheme="minorHAnsi"/>
                <w:sz w:val="20"/>
                <w:szCs w:val="20"/>
              </w:rPr>
              <w:t>Over 3 years - Straight line basis</w:t>
            </w:r>
          </w:p>
        </w:tc>
      </w:tr>
    </w:tbl>
    <w:p w14:paraId="1F463113" w14:textId="77777777" w:rsidR="00487256" w:rsidRPr="00DB2968" w:rsidRDefault="00487256" w:rsidP="00487256">
      <w:pPr>
        <w:rPr>
          <w:rFonts w:asciiTheme="minorHAnsi" w:hAnsiTheme="minorHAnsi" w:cstheme="minorHAnsi"/>
          <w:sz w:val="20"/>
          <w:szCs w:val="20"/>
        </w:rPr>
      </w:pPr>
    </w:p>
    <w:p w14:paraId="62D57759" w14:textId="77777777" w:rsidR="00487256" w:rsidRPr="00DB2968" w:rsidRDefault="00487256" w:rsidP="00487256">
      <w:pPr>
        <w:rPr>
          <w:rFonts w:asciiTheme="minorHAnsi" w:hAnsiTheme="minorHAnsi" w:cstheme="minorHAnsi"/>
          <w:sz w:val="20"/>
          <w:szCs w:val="20"/>
        </w:rPr>
      </w:pPr>
    </w:p>
    <w:p w14:paraId="32507C2E" w14:textId="77777777" w:rsidR="00487256" w:rsidRPr="00DB2968" w:rsidRDefault="00487256" w:rsidP="00487256">
      <w:pPr>
        <w:rPr>
          <w:rFonts w:asciiTheme="minorHAnsi" w:hAnsiTheme="minorHAnsi" w:cstheme="minorHAnsi"/>
          <w:sz w:val="20"/>
          <w:szCs w:val="20"/>
        </w:rPr>
      </w:pPr>
    </w:p>
    <w:p w14:paraId="54B8CB4C" w14:textId="77777777" w:rsidR="00487256" w:rsidRPr="00DB2968" w:rsidRDefault="00487256" w:rsidP="00487256">
      <w:pPr>
        <w:rPr>
          <w:rFonts w:asciiTheme="minorHAnsi" w:hAnsiTheme="minorHAnsi" w:cstheme="minorHAnsi"/>
          <w:sz w:val="20"/>
          <w:szCs w:val="20"/>
        </w:rPr>
      </w:pPr>
    </w:p>
    <w:p w14:paraId="505C139A" w14:textId="363F55BD" w:rsidR="00487256" w:rsidRDefault="00487256" w:rsidP="00487256">
      <w:pPr>
        <w:rPr>
          <w:rFonts w:asciiTheme="minorHAnsi" w:hAnsiTheme="minorHAnsi" w:cstheme="minorHAnsi"/>
          <w:sz w:val="20"/>
          <w:szCs w:val="20"/>
        </w:rPr>
      </w:pPr>
    </w:p>
    <w:p w14:paraId="36C90DF3" w14:textId="5A28F865" w:rsidR="00D276C0" w:rsidRDefault="00D276C0" w:rsidP="00487256">
      <w:pPr>
        <w:rPr>
          <w:rFonts w:asciiTheme="minorHAnsi" w:hAnsiTheme="minorHAnsi" w:cstheme="minorHAnsi"/>
          <w:sz w:val="20"/>
          <w:szCs w:val="20"/>
        </w:rPr>
      </w:pPr>
    </w:p>
    <w:p w14:paraId="70CE21B7" w14:textId="2EF06051" w:rsidR="00D276C0" w:rsidRDefault="00D276C0" w:rsidP="00487256">
      <w:pPr>
        <w:rPr>
          <w:rFonts w:asciiTheme="minorHAnsi" w:hAnsiTheme="minorHAnsi" w:cstheme="minorHAnsi"/>
          <w:sz w:val="20"/>
          <w:szCs w:val="20"/>
        </w:rPr>
      </w:pPr>
    </w:p>
    <w:p w14:paraId="56ABE090" w14:textId="1AD2C5B0" w:rsidR="00D276C0" w:rsidRDefault="00D276C0" w:rsidP="00487256">
      <w:pPr>
        <w:rPr>
          <w:rFonts w:asciiTheme="minorHAnsi" w:hAnsiTheme="minorHAnsi" w:cstheme="minorHAnsi"/>
          <w:sz w:val="20"/>
          <w:szCs w:val="20"/>
        </w:rPr>
      </w:pPr>
    </w:p>
    <w:p w14:paraId="22F6AE75" w14:textId="6C8F76D9" w:rsidR="00D276C0" w:rsidRDefault="00D276C0" w:rsidP="00487256">
      <w:pPr>
        <w:rPr>
          <w:rFonts w:asciiTheme="minorHAnsi" w:hAnsiTheme="minorHAnsi" w:cstheme="minorHAnsi"/>
          <w:sz w:val="20"/>
          <w:szCs w:val="20"/>
        </w:rPr>
      </w:pPr>
    </w:p>
    <w:p w14:paraId="56CF5373" w14:textId="6AC13CEA" w:rsidR="00D276C0" w:rsidRDefault="00D276C0" w:rsidP="00487256">
      <w:pPr>
        <w:rPr>
          <w:rFonts w:asciiTheme="minorHAnsi" w:hAnsiTheme="minorHAnsi" w:cstheme="minorHAnsi"/>
          <w:sz w:val="20"/>
          <w:szCs w:val="20"/>
        </w:rPr>
      </w:pPr>
    </w:p>
    <w:p w14:paraId="124ACA8E" w14:textId="671A7320" w:rsidR="00D276C0" w:rsidRDefault="00D276C0" w:rsidP="00487256">
      <w:pPr>
        <w:rPr>
          <w:rFonts w:asciiTheme="minorHAnsi" w:hAnsiTheme="minorHAnsi" w:cstheme="minorHAnsi"/>
          <w:sz w:val="20"/>
          <w:szCs w:val="20"/>
        </w:rPr>
      </w:pPr>
    </w:p>
    <w:p w14:paraId="7CBF8BEE" w14:textId="77777777" w:rsidR="00037100" w:rsidRPr="00DB2968" w:rsidRDefault="00037100" w:rsidP="00487256">
      <w:pPr>
        <w:rPr>
          <w:rFonts w:asciiTheme="minorHAnsi" w:hAnsiTheme="minorHAnsi" w:cstheme="minorHAnsi"/>
          <w:sz w:val="20"/>
          <w:szCs w:val="20"/>
        </w:rPr>
      </w:pPr>
    </w:p>
    <w:p w14:paraId="7768D17C" w14:textId="77777777" w:rsidR="00487256" w:rsidRPr="00DB2968" w:rsidRDefault="00487256" w:rsidP="00487256">
      <w:pPr>
        <w:rPr>
          <w:rFonts w:asciiTheme="minorHAnsi" w:hAnsiTheme="minorHAnsi" w:cstheme="minorHAnsi"/>
          <w:sz w:val="20"/>
          <w:szCs w:val="20"/>
        </w:rPr>
      </w:pPr>
    </w:p>
    <w:p w14:paraId="0B397A63" w14:textId="77777777" w:rsidR="00487256" w:rsidRPr="00DB2968" w:rsidRDefault="00487256" w:rsidP="00487256">
      <w:pPr>
        <w:spacing w:before="79"/>
        <w:rPr>
          <w:rFonts w:asciiTheme="minorHAnsi" w:hAnsiTheme="minorHAnsi" w:cstheme="minorHAnsi"/>
          <w:b/>
          <w:sz w:val="20"/>
          <w:szCs w:val="20"/>
        </w:rPr>
      </w:pPr>
      <w:r w:rsidRPr="00DB2968">
        <w:rPr>
          <w:rFonts w:asciiTheme="minorHAnsi" w:hAnsiTheme="minorHAnsi" w:cstheme="minorHAnsi"/>
          <w:b/>
          <w:sz w:val="20"/>
          <w:szCs w:val="20"/>
        </w:rPr>
        <w:t>NOTES TO THE INTERIM RESULTS</w:t>
      </w:r>
    </w:p>
    <w:p w14:paraId="3718D0A7" w14:textId="34DC9ECC" w:rsidR="00487256" w:rsidRPr="00DB2968" w:rsidRDefault="00487256" w:rsidP="00487256">
      <w:pPr>
        <w:spacing w:before="1"/>
        <w:rPr>
          <w:rFonts w:asciiTheme="minorHAnsi" w:hAnsiTheme="minorHAnsi" w:cstheme="minorHAnsi"/>
          <w:b/>
          <w:sz w:val="20"/>
          <w:szCs w:val="20"/>
        </w:rPr>
      </w:pPr>
      <w:r w:rsidRPr="00DB2968">
        <w:rPr>
          <w:rFonts w:asciiTheme="minorHAnsi" w:hAnsiTheme="minorHAnsi" w:cstheme="minorHAnsi"/>
          <w:b/>
          <w:sz w:val="20"/>
          <w:szCs w:val="20"/>
        </w:rPr>
        <w:t xml:space="preserve">For the </w:t>
      </w:r>
      <w:r w:rsidR="00373E43">
        <w:rPr>
          <w:rFonts w:asciiTheme="minorHAnsi" w:hAnsiTheme="minorHAnsi" w:cstheme="minorHAnsi"/>
          <w:b/>
          <w:sz w:val="20"/>
          <w:szCs w:val="20"/>
        </w:rPr>
        <w:t>twelve months ended 31 July</w:t>
      </w:r>
      <w:r w:rsidRPr="00DB2968">
        <w:rPr>
          <w:rFonts w:asciiTheme="minorHAnsi" w:hAnsiTheme="minorHAnsi" w:cstheme="minorHAnsi"/>
          <w:b/>
          <w:sz w:val="20"/>
          <w:szCs w:val="20"/>
        </w:rPr>
        <w:t xml:space="preserve"> 2021 (continued)</w:t>
      </w:r>
    </w:p>
    <w:p w14:paraId="4E096258" w14:textId="77777777" w:rsidR="00487256" w:rsidRPr="00DB2968" w:rsidRDefault="00487256" w:rsidP="00487256">
      <w:pPr>
        <w:adjustRightInd w:val="0"/>
        <w:spacing w:after="100"/>
        <w:ind w:left="567" w:right="1056"/>
        <w:jc w:val="both"/>
        <w:rPr>
          <w:rFonts w:asciiTheme="minorHAnsi" w:hAnsiTheme="minorHAnsi" w:cstheme="minorHAnsi"/>
          <w:sz w:val="20"/>
          <w:szCs w:val="20"/>
        </w:rPr>
      </w:pPr>
    </w:p>
    <w:p w14:paraId="590EB557" w14:textId="77777777" w:rsidR="00487256" w:rsidRPr="00DB2968" w:rsidRDefault="00487256" w:rsidP="00487256">
      <w:pPr>
        <w:adjustRightInd w:val="0"/>
        <w:spacing w:after="100"/>
        <w:ind w:left="567"/>
        <w:jc w:val="both"/>
        <w:rPr>
          <w:rFonts w:asciiTheme="minorHAnsi" w:hAnsiTheme="minorHAnsi" w:cstheme="minorHAnsi"/>
          <w:b/>
          <w:sz w:val="20"/>
          <w:szCs w:val="20"/>
        </w:rPr>
      </w:pPr>
      <w:r w:rsidRPr="00CD71AA">
        <w:rPr>
          <w:rFonts w:asciiTheme="minorHAnsi" w:hAnsiTheme="minorHAnsi" w:cstheme="minorHAnsi"/>
          <w:b/>
          <w:sz w:val="20"/>
          <w:szCs w:val="20"/>
        </w:rPr>
        <w:t>Leases</w:t>
      </w:r>
    </w:p>
    <w:p w14:paraId="244FAF9C" w14:textId="77777777"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At inception of a contract, the Group assesses whether a contract is, or contains, a lease. A contract is, or contains, a lease if the contract conveys the right to control the use of an identified asset for a period of time in exchange for consideration. To assess whether a contract conveys the right to control the use of an identified asset, the Group uses the definition of a lease in IFRS16.</w:t>
      </w:r>
    </w:p>
    <w:p w14:paraId="2010C7D2" w14:textId="77777777"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The Group recognises a right-of-use asset and a lease liability at the lease commencement date. The right-of-use asset is initially measured at cost, which comprises the initial amount of the lease liability adjusted for any lease payments made at or before the commencement date, plus any initial direct costs incurred and an estimate of costs to dismantle and remove the underlying asset or to restore the underlying asset or the site on which it is located, less any lease incentives received.</w:t>
      </w:r>
    </w:p>
    <w:p w14:paraId="3ECE7617" w14:textId="77777777"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 right-of-use asset is subsequently depreciated using the straight-line method from the commencement date to the end of the lease term, unless the lease transfers ownership of the underlying asset to the Group by the end of the lease term or the cost of the right-of-use asset reflects that the Group will exercise a purchase option. In that case the right-of-use asset will be depreciated over the useful life of the underlying asset, which is determined on the same basis as those of property and equipment. In addition, the right-of-use asset is periodically reduced by impairment losses, if any, and adjusted for certain remeasurements of the lease liability. </w:t>
      </w:r>
    </w:p>
    <w:p w14:paraId="1195300B" w14:textId="77777777"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The lease liability is initially measured at the present value of the lease payments that are not paid at the commencement date, discounted using the interest rate implicit in the lease or, if that rate cannot be readily determined, the Group’s incremental borrowing rate. Generally, the Group uses its incremental borrowing rate as the discount rate. The incremental borrowing rate for the Group has been assessed to be 10%.</w:t>
      </w:r>
    </w:p>
    <w:p w14:paraId="2360C7C0" w14:textId="52F6532A" w:rsidR="00487256"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 Group determines its incremental borrowing rate by obtaining interest rates from various external financing sources and makes certain adjustments to reflect the terms of the lease and type of the asset leased. </w:t>
      </w:r>
    </w:p>
    <w:p w14:paraId="4EE142F4" w14:textId="77777777" w:rsidR="008E6ECA" w:rsidRPr="00DB2968" w:rsidRDefault="008E6ECA" w:rsidP="00487256">
      <w:pPr>
        <w:ind w:left="567" w:right="1190"/>
        <w:jc w:val="both"/>
        <w:rPr>
          <w:rFonts w:asciiTheme="minorHAnsi" w:hAnsiTheme="minorHAnsi" w:cstheme="minorHAnsi"/>
          <w:sz w:val="20"/>
          <w:szCs w:val="20"/>
        </w:rPr>
      </w:pPr>
    </w:p>
    <w:p w14:paraId="52DBDB9A" w14:textId="77777777"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 lease liability is measured at amortised cost using the effective interest method. It is remeasured when there is a change in future lease payments. </w:t>
      </w:r>
    </w:p>
    <w:p w14:paraId="57848E64" w14:textId="161C2D38" w:rsidR="00487256"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When the lease liability is remeasured in this way, a corresponding adjustment is made to the carrying amount of the right-of-use </w:t>
      </w:r>
      <w:proofErr w:type="gramStart"/>
      <w:r w:rsidRPr="00DB2968">
        <w:rPr>
          <w:rFonts w:asciiTheme="minorHAnsi" w:hAnsiTheme="minorHAnsi" w:cstheme="minorHAnsi"/>
          <w:sz w:val="20"/>
          <w:szCs w:val="20"/>
        </w:rPr>
        <w:t>asset, or</w:t>
      </w:r>
      <w:proofErr w:type="gramEnd"/>
      <w:r w:rsidRPr="00DB2968">
        <w:rPr>
          <w:rFonts w:asciiTheme="minorHAnsi" w:hAnsiTheme="minorHAnsi" w:cstheme="minorHAnsi"/>
          <w:sz w:val="20"/>
          <w:szCs w:val="20"/>
        </w:rPr>
        <w:t xml:space="preserve"> is recorded in profit or loss if the carrying amount of the right-of-use asset has been reduced to zero.</w:t>
      </w:r>
    </w:p>
    <w:p w14:paraId="51FF874C" w14:textId="77777777" w:rsidR="008E6ECA" w:rsidRPr="00DB2968" w:rsidRDefault="008E6ECA" w:rsidP="00487256">
      <w:pPr>
        <w:ind w:left="567" w:right="1190"/>
        <w:jc w:val="both"/>
        <w:rPr>
          <w:rFonts w:asciiTheme="minorHAnsi" w:hAnsiTheme="minorHAnsi" w:cstheme="minorHAnsi"/>
          <w:sz w:val="20"/>
          <w:szCs w:val="20"/>
        </w:rPr>
      </w:pPr>
    </w:p>
    <w:p w14:paraId="13577E4E" w14:textId="77777777" w:rsidR="00487256" w:rsidRPr="00037100" w:rsidRDefault="00487256" w:rsidP="00487256">
      <w:pPr>
        <w:ind w:left="567" w:right="1190"/>
        <w:jc w:val="both"/>
        <w:rPr>
          <w:rFonts w:asciiTheme="minorHAnsi" w:hAnsiTheme="minorHAnsi" w:cstheme="minorHAnsi"/>
          <w:sz w:val="20"/>
          <w:szCs w:val="20"/>
        </w:rPr>
      </w:pPr>
      <w:r w:rsidRPr="00037100">
        <w:rPr>
          <w:rFonts w:asciiTheme="minorHAnsi" w:hAnsiTheme="minorHAnsi" w:cstheme="minorHAnsi"/>
          <w:sz w:val="20"/>
          <w:szCs w:val="20"/>
        </w:rPr>
        <w:t>In applying IFRS 16 for the first time, the Group has recognised the following lease liabilities:</w:t>
      </w:r>
    </w:p>
    <w:p w14:paraId="1E952000" w14:textId="48ABD914" w:rsidR="00487256" w:rsidRPr="00037100" w:rsidRDefault="00487256" w:rsidP="00487256">
      <w:pPr>
        <w:ind w:left="567" w:right="1190"/>
        <w:jc w:val="both"/>
        <w:rPr>
          <w:rFonts w:asciiTheme="minorHAnsi" w:hAnsiTheme="minorHAnsi" w:cstheme="minorHAnsi"/>
          <w:sz w:val="20"/>
          <w:szCs w:val="20"/>
        </w:rPr>
      </w:pPr>
      <w:r w:rsidRPr="00037100">
        <w:rPr>
          <w:rFonts w:asciiTheme="minorHAnsi" w:hAnsiTheme="minorHAnsi" w:cstheme="minorHAnsi"/>
          <w:sz w:val="20"/>
          <w:szCs w:val="20"/>
        </w:rPr>
        <w:t xml:space="preserve">Current </w:t>
      </w:r>
      <w:r w:rsidRPr="00037100">
        <w:rPr>
          <w:rFonts w:asciiTheme="minorHAnsi" w:hAnsiTheme="minorHAnsi" w:cstheme="minorHAnsi"/>
          <w:sz w:val="20"/>
          <w:szCs w:val="20"/>
        </w:rPr>
        <w:tab/>
      </w:r>
      <w:r w:rsidRPr="00037100">
        <w:rPr>
          <w:rFonts w:asciiTheme="minorHAnsi" w:hAnsiTheme="minorHAnsi" w:cstheme="minorHAnsi"/>
          <w:sz w:val="20"/>
          <w:szCs w:val="20"/>
        </w:rPr>
        <w:tab/>
        <w:t>£1,</w:t>
      </w:r>
      <w:r w:rsidR="00CF27FB">
        <w:rPr>
          <w:rFonts w:asciiTheme="minorHAnsi" w:hAnsiTheme="minorHAnsi" w:cstheme="minorHAnsi"/>
          <w:sz w:val="20"/>
          <w:szCs w:val="20"/>
        </w:rPr>
        <w:t>3</w:t>
      </w:r>
      <w:r w:rsidR="00037100" w:rsidRPr="00037100">
        <w:rPr>
          <w:rFonts w:asciiTheme="minorHAnsi" w:hAnsiTheme="minorHAnsi" w:cstheme="minorHAnsi"/>
          <w:sz w:val="20"/>
          <w:szCs w:val="20"/>
        </w:rPr>
        <w:t>20,458</w:t>
      </w:r>
      <w:r w:rsidRPr="00037100">
        <w:rPr>
          <w:rFonts w:asciiTheme="minorHAnsi" w:hAnsiTheme="minorHAnsi" w:cstheme="minorHAnsi"/>
          <w:sz w:val="20"/>
          <w:szCs w:val="20"/>
        </w:rPr>
        <w:t xml:space="preserve"> </w:t>
      </w:r>
      <w:r w:rsidRPr="00037100">
        <w:rPr>
          <w:rFonts w:asciiTheme="minorHAnsi" w:hAnsiTheme="minorHAnsi" w:cstheme="minorHAnsi"/>
          <w:sz w:val="20"/>
          <w:szCs w:val="20"/>
        </w:rPr>
        <w:tab/>
        <w:t>(31 J</w:t>
      </w:r>
      <w:r w:rsidR="00037100" w:rsidRPr="00037100">
        <w:rPr>
          <w:rFonts w:asciiTheme="minorHAnsi" w:hAnsiTheme="minorHAnsi" w:cstheme="minorHAnsi"/>
          <w:sz w:val="20"/>
          <w:szCs w:val="20"/>
        </w:rPr>
        <w:t>uly</w:t>
      </w:r>
      <w:r w:rsidRPr="00037100">
        <w:rPr>
          <w:rFonts w:asciiTheme="minorHAnsi" w:hAnsiTheme="minorHAnsi" w:cstheme="minorHAnsi"/>
          <w:sz w:val="20"/>
          <w:szCs w:val="20"/>
        </w:rPr>
        <w:t xml:space="preserve"> 2020: £</w:t>
      </w:r>
      <w:r w:rsidR="00037100" w:rsidRPr="00037100">
        <w:rPr>
          <w:rFonts w:asciiTheme="minorHAnsi" w:hAnsiTheme="minorHAnsi" w:cstheme="minorHAnsi"/>
          <w:sz w:val="20"/>
          <w:szCs w:val="20"/>
        </w:rPr>
        <w:t>1,087,885</w:t>
      </w:r>
      <w:r w:rsidRPr="00037100">
        <w:rPr>
          <w:rFonts w:asciiTheme="minorHAnsi" w:hAnsiTheme="minorHAnsi" w:cstheme="minorHAnsi"/>
          <w:sz w:val="20"/>
          <w:szCs w:val="20"/>
        </w:rPr>
        <w:t>)</w:t>
      </w:r>
    </w:p>
    <w:p w14:paraId="59F9532D" w14:textId="3A569D0B" w:rsidR="00487256" w:rsidRPr="00037100" w:rsidRDefault="00487256" w:rsidP="00487256">
      <w:pPr>
        <w:ind w:left="567" w:right="1190"/>
        <w:jc w:val="both"/>
        <w:rPr>
          <w:rFonts w:asciiTheme="minorHAnsi" w:hAnsiTheme="minorHAnsi" w:cstheme="minorHAnsi"/>
          <w:sz w:val="20"/>
          <w:szCs w:val="20"/>
        </w:rPr>
      </w:pPr>
      <w:r w:rsidRPr="00037100">
        <w:rPr>
          <w:rFonts w:asciiTheme="minorHAnsi" w:hAnsiTheme="minorHAnsi" w:cstheme="minorHAnsi"/>
          <w:sz w:val="20"/>
          <w:szCs w:val="20"/>
        </w:rPr>
        <w:t xml:space="preserve">Non-current </w:t>
      </w:r>
      <w:r w:rsidRPr="00037100">
        <w:rPr>
          <w:rFonts w:asciiTheme="minorHAnsi" w:hAnsiTheme="minorHAnsi" w:cstheme="minorHAnsi"/>
          <w:sz w:val="20"/>
          <w:szCs w:val="20"/>
        </w:rPr>
        <w:tab/>
        <w:t>£13,</w:t>
      </w:r>
      <w:r w:rsidR="00037100" w:rsidRPr="00037100">
        <w:rPr>
          <w:rFonts w:asciiTheme="minorHAnsi" w:hAnsiTheme="minorHAnsi" w:cstheme="minorHAnsi"/>
          <w:sz w:val="20"/>
          <w:szCs w:val="20"/>
        </w:rPr>
        <w:t>878,805</w:t>
      </w:r>
      <w:r w:rsidR="00037100" w:rsidRPr="00037100">
        <w:rPr>
          <w:rFonts w:asciiTheme="minorHAnsi" w:hAnsiTheme="minorHAnsi" w:cstheme="minorHAnsi"/>
          <w:sz w:val="20"/>
          <w:szCs w:val="20"/>
        </w:rPr>
        <w:tab/>
        <w:t>(31 July</w:t>
      </w:r>
      <w:r w:rsidRPr="00037100">
        <w:rPr>
          <w:rFonts w:asciiTheme="minorHAnsi" w:hAnsiTheme="minorHAnsi" w:cstheme="minorHAnsi"/>
          <w:sz w:val="20"/>
          <w:szCs w:val="20"/>
        </w:rPr>
        <w:t xml:space="preserve"> 2020: £</w:t>
      </w:r>
      <w:r w:rsidR="00037100" w:rsidRPr="00037100">
        <w:rPr>
          <w:rFonts w:asciiTheme="minorHAnsi" w:hAnsiTheme="minorHAnsi" w:cstheme="minorHAnsi"/>
          <w:sz w:val="20"/>
          <w:szCs w:val="20"/>
        </w:rPr>
        <w:t>13,699,579</w:t>
      </w:r>
      <w:r w:rsidRPr="00037100">
        <w:rPr>
          <w:rFonts w:asciiTheme="minorHAnsi" w:hAnsiTheme="minorHAnsi" w:cstheme="minorHAnsi"/>
          <w:sz w:val="20"/>
          <w:szCs w:val="20"/>
        </w:rPr>
        <w:t>)</w:t>
      </w:r>
    </w:p>
    <w:p w14:paraId="4CF8C182" w14:textId="77777777" w:rsidR="00487256" w:rsidRPr="00C42E77" w:rsidRDefault="00487256" w:rsidP="00487256">
      <w:pPr>
        <w:ind w:left="567" w:right="1190"/>
        <w:jc w:val="both"/>
        <w:rPr>
          <w:rFonts w:asciiTheme="minorHAnsi" w:hAnsiTheme="minorHAnsi" w:cstheme="minorHAnsi"/>
          <w:sz w:val="20"/>
          <w:szCs w:val="20"/>
          <w:highlight w:val="yellow"/>
        </w:rPr>
      </w:pPr>
    </w:p>
    <w:p w14:paraId="7E248219" w14:textId="5F844AB0" w:rsidR="00487256" w:rsidRPr="00DB2968" w:rsidRDefault="00487256" w:rsidP="00487256">
      <w:pPr>
        <w:ind w:left="567" w:right="1190"/>
        <w:jc w:val="both"/>
        <w:rPr>
          <w:rFonts w:asciiTheme="minorHAnsi" w:hAnsiTheme="minorHAnsi" w:cstheme="minorHAnsi"/>
          <w:sz w:val="20"/>
          <w:szCs w:val="20"/>
        </w:rPr>
      </w:pPr>
      <w:r w:rsidRPr="00D03B8B">
        <w:rPr>
          <w:rFonts w:asciiTheme="minorHAnsi" w:hAnsiTheme="minorHAnsi" w:cstheme="minorHAnsi"/>
          <w:sz w:val="20"/>
          <w:szCs w:val="20"/>
        </w:rPr>
        <w:t>Right-of-use assets totalling £13,</w:t>
      </w:r>
      <w:r w:rsidR="00CF27FB" w:rsidRPr="00D03B8B">
        <w:rPr>
          <w:rFonts w:asciiTheme="minorHAnsi" w:hAnsiTheme="minorHAnsi" w:cstheme="minorHAnsi"/>
          <w:sz w:val="20"/>
          <w:szCs w:val="20"/>
        </w:rPr>
        <w:t>268,220</w:t>
      </w:r>
      <w:r w:rsidRPr="00D03B8B">
        <w:rPr>
          <w:rFonts w:asciiTheme="minorHAnsi" w:hAnsiTheme="minorHAnsi" w:cstheme="minorHAnsi"/>
          <w:sz w:val="20"/>
          <w:szCs w:val="20"/>
        </w:rPr>
        <w:t xml:space="preserve"> </w:t>
      </w:r>
      <w:r w:rsidR="00D03B8B" w:rsidRPr="00D03B8B">
        <w:rPr>
          <w:rFonts w:asciiTheme="minorHAnsi" w:hAnsiTheme="minorHAnsi" w:cstheme="minorHAnsi"/>
          <w:sz w:val="20"/>
          <w:szCs w:val="20"/>
        </w:rPr>
        <w:t>(31 July</w:t>
      </w:r>
      <w:r w:rsidRPr="00D03B8B">
        <w:rPr>
          <w:rFonts w:asciiTheme="minorHAnsi" w:hAnsiTheme="minorHAnsi" w:cstheme="minorHAnsi"/>
          <w:sz w:val="20"/>
          <w:szCs w:val="20"/>
        </w:rPr>
        <w:t xml:space="preserve"> 2020: £1</w:t>
      </w:r>
      <w:r w:rsidR="00D03B8B" w:rsidRPr="00D03B8B">
        <w:rPr>
          <w:rFonts w:asciiTheme="minorHAnsi" w:hAnsiTheme="minorHAnsi" w:cstheme="minorHAnsi"/>
          <w:sz w:val="20"/>
          <w:szCs w:val="20"/>
        </w:rPr>
        <w:t>4,018,516.98</w:t>
      </w:r>
      <w:r w:rsidRPr="00D03B8B">
        <w:rPr>
          <w:rFonts w:asciiTheme="minorHAnsi" w:hAnsiTheme="minorHAnsi" w:cstheme="minorHAnsi"/>
          <w:sz w:val="20"/>
          <w:szCs w:val="20"/>
        </w:rPr>
        <w:t>) and lease liabilities totalling £15,</w:t>
      </w:r>
      <w:r w:rsidR="00037100" w:rsidRPr="00D03B8B">
        <w:rPr>
          <w:rFonts w:asciiTheme="minorHAnsi" w:hAnsiTheme="minorHAnsi" w:cstheme="minorHAnsi"/>
          <w:sz w:val="20"/>
          <w:szCs w:val="20"/>
        </w:rPr>
        <w:t>199,263</w:t>
      </w:r>
      <w:r w:rsidRPr="00D03B8B">
        <w:rPr>
          <w:rFonts w:asciiTheme="minorHAnsi" w:hAnsiTheme="minorHAnsi" w:cstheme="minorHAnsi"/>
          <w:sz w:val="20"/>
          <w:szCs w:val="20"/>
        </w:rPr>
        <w:t xml:space="preserve"> (31 J</w:t>
      </w:r>
      <w:r w:rsidR="00037100" w:rsidRPr="00D03B8B">
        <w:rPr>
          <w:rFonts w:asciiTheme="minorHAnsi" w:hAnsiTheme="minorHAnsi" w:cstheme="minorHAnsi"/>
          <w:sz w:val="20"/>
          <w:szCs w:val="20"/>
        </w:rPr>
        <w:t>ul</w:t>
      </w:r>
      <w:r w:rsidRPr="00D03B8B">
        <w:rPr>
          <w:rFonts w:asciiTheme="minorHAnsi" w:hAnsiTheme="minorHAnsi" w:cstheme="minorHAnsi"/>
          <w:sz w:val="20"/>
          <w:szCs w:val="20"/>
        </w:rPr>
        <w:t>y 2020: £1</w:t>
      </w:r>
      <w:r w:rsidR="00037100" w:rsidRPr="00D03B8B">
        <w:rPr>
          <w:rFonts w:asciiTheme="minorHAnsi" w:hAnsiTheme="minorHAnsi" w:cstheme="minorHAnsi"/>
          <w:sz w:val="20"/>
          <w:szCs w:val="20"/>
        </w:rPr>
        <w:t>4,787,464</w:t>
      </w:r>
      <w:r w:rsidRPr="00D03B8B">
        <w:rPr>
          <w:rFonts w:asciiTheme="minorHAnsi" w:hAnsiTheme="minorHAnsi" w:cstheme="minorHAnsi"/>
          <w:sz w:val="20"/>
          <w:szCs w:val="20"/>
        </w:rPr>
        <w:t>) were recognised during the period and depreciation on the right of use recorded in the income statement was £</w:t>
      </w:r>
      <w:r w:rsidR="00037100" w:rsidRPr="00D03B8B">
        <w:rPr>
          <w:rFonts w:asciiTheme="minorHAnsi" w:hAnsiTheme="minorHAnsi" w:cstheme="minorHAnsi"/>
          <w:sz w:val="20"/>
          <w:szCs w:val="20"/>
        </w:rPr>
        <w:t>750,061</w:t>
      </w:r>
      <w:r w:rsidRPr="00D03B8B">
        <w:rPr>
          <w:rFonts w:asciiTheme="minorHAnsi" w:hAnsiTheme="minorHAnsi" w:cstheme="minorHAnsi"/>
          <w:sz w:val="20"/>
          <w:szCs w:val="20"/>
        </w:rPr>
        <w:t xml:space="preserve"> (31 J</w:t>
      </w:r>
      <w:r w:rsidR="00CF27FB" w:rsidRPr="00D03B8B">
        <w:rPr>
          <w:rFonts w:asciiTheme="minorHAnsi" w:hAnsiTheme="minorHAnsi" w:cstheme="minorHAnsi"/>
          <w:sz w:val="20"/>
          <w:szCs w:val="20"/>
        </w:rPr>
        <w:t>uly</w:t>
      </w:r>
      <w:r w:rsidRPr="00D03B8B">
        <w:rPr>
          <w:rFonts w:asciiTheme="minorHAnsi" w:hAnsiTheme="minorHAnsi" w:cstheme="minorHAnsi"/>
          <w:sz w:val="20"/>
          <w:szCs w:val="20"/>
        </w:rPr>
        <w:t xml:space="preserve"> 2020: £</w:t>
      </w:r>
      <w:r w:rsidR="00CF27FB" w:rsidRPr="00D03B8B">
        <w:rPr>
          <w:rFonts w:asciiTheme="minorHAnsi" w:hAnsiTheme="minorHAnsi" w:cstheme="minorHAnsi"/>
          <w:sz w:val="20"/>
          <w:szCs w:val="20"/>
        </w:rPr>
        <w:t>283,616</w:t>
      </w:r>
      <w:r w:rsidRPr="00D03B8B">
        <w:rPr>
          <w:rFonts w:asciiTheme="minorHAnsi" w:hAnsiTheme="minorHAnsi" w:cstheme="minorHAnsi"/>
          <w:sz w:val="20"/>
          <w:szCs w:val="20"/>
        </w:rPr>
        <w:t>).</w:t>
      </w:r>
    </w:p>
    <w:p w14:paraId="599FEC2C" w14:textId="77777777" w:rsidR="00487256" w:rsidRPr="00DB2968" w:rsidRDefault="00487256" w:rsidP="00487256">
      <w:pPr>
        <w:ind w:left="567" w:right="1190"/>
        <w:jc w:val="both"/>
        <w:rPr>
          <w:rFonts w:asciiTheme="minorHAnsi" w:hAnsiTheme="minorHAnsi" w:cstheme="minorHAnsi"/>
          <w:color w:val="1A1A1A"/>
          <w:sz w:val="20"/>
          <w:szCs w:val="20"/>
        </w:rPr>
      </w:pPr>
    </w:p>
    <w:p w14:paraId="67342DD2" w14:textId="330E4E8B"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Lease payments are allocated between principal and finance cost. The finance cost is charged to profit or loss over the lease period.</w:t>
      </w:r>
    </w:p>
    <w:p w14:paraId="46E7F8B9" w14:textId="77777777" w:rsidR="00487256" w:rsidRPr="00DB2968" w:rsidRDefault="00487256" w:rsidP="00487256">
      <w:pPr>
        <w:ind w:left="567" w:right="1190"/>
        <w:jc w:val="both"/>
        <w:rPr>
          <w:rFonts w:asciiTheme="minorHAnsi" w:hAnsiTheme="minorHAnsi" w:cstheme="minorHAnsi"/>
          <w:sz w:val="20"/>
          <w:szCs w:val="20"/>
        </w:rPr>
      </w:pPr>
    </w:p>
    <w:p w14:paraId="363F4650" w14:textId="17C5F1DB" w:rsidR="00487256" w:rsidRPr="00DB2968" w:rsidRDefault="00487256" w:rsidP="00487256">
      <w:pPr>
        <w:ind w:left="567" w:right="1190"/>
        <w:jc w:val="both"/>
        <w:rPr>
          <w:rFonts w:asciiTheme="minorHAnsi" w:hAnsiTheme="minorHAnsi" w:cstheme="minorHAnsi"/>
          <w:sz w:val="20"/>
          <w:szCs w:val="20"/>
        </w:rPr>
      </w:pPr>
      <w:r w:rsidRPr="00DB2968">
        <w:rPr>
          <w:rFonts w:asciiTheme="minorHAnsi" w:hAnsiTheme="minorHAnsi" w:cstheme="minorHAnsi"/>
          <w:sz w:val="20"/>
          <w:szCs w:val="20"/>
        </w:rPr>
        <w:t xml:space="preserve">There are no other IFRSs or IFRIC interpretations that are not yet effective that would be expected </w:t>
      </w:r>
      <w:r w:rsidRPr="00DB2968">
        <w:rPr>
          <w:rFonts w:asciiTheme="minorHAnsi" w:hAnsiTheme="minorHAnsi" w:cstheme="minorHAnsi"/>
          <w:sz w:val="20"/>
          <w:szCs w:val="20"/>
        </w:rPr>
        <w:lastRenderedPageBreak/>
        <w:t>to have a material impact on the Group.</w:t>
      </w:r>
    </w:p>
    <w:p w14:paraId="2B18C64F" w14:textId="5A49727D" w:rsidR="00487256" w:rsidRDefault="00487256" w:rsidP="0089653F">
      <w:pPr>
        <w:tabs>
          <w:tab w:val="left" w:pos="989"/>
        </w:tabs>
        <w:rPr>
          <w:rFonts w:asciiTheme="minorHAnsi" w:hAnsiTheme="minorHAnsi" w:cstheme="minorHAnsi"/>
          <w:sz w:val="20"/>
          <w:szCs w:val="20"/>
        </w:rPr>
      </w:pPr>
    </w:p>
    <w:p w14:paraId="4EBA1B7F" w14:textId="54BDBB2A" w:rsidR="00D276C0" w:rsidRDefault="00D276C0" w:rsidP="0089653F">
      <w:pPr>
        <w:tabs>
          <w:tab w:val="left" w:pos="989"/>
        </w:tabs>
        <w:rPr>
          <w:rFonts w:asciiTheme="minorHAnsi" w:hAnsiTheme="minorHAnsi" w:cstheme="minorHAnsi"/>
          <w:sz w:val="20"/>
          <w:szCs w:val="20"/>
        </w:rPr>
      </w:pPr>
    </w:p>
    <w:p w14:paraId="0DC226E8" w14:textId="6C5B544A" w:rsidR="00D276C0" w:rsidRDefault="00D276C0" w:rsidP="0089653F">
      <w:pPr>
        <w:tabs>
          <w:tab w:val="left" w:pos="989"/>
        </w:tabs>
        <w:rPr>
          <w:rFonts w:asciiTheme="minorHAnsi" w:hAnsiTheme="minorHAnsi" w:cstheme="minorHAnsi"/>
          <w:sz w:val="20"/>
          <w:szCs w:val="20"/>
        </w:rPr>
      </w:pPr>
    </w:p>
    <w:p w14:paraId="06BD9C10" w14:textId="3318CAFC" w:rsidR="00D276C0" w:rsidRDefault="00D276C0" w:rsidP="0089653F">
      <w:pPr>
        <w:tabs>
          <w:tab w:val="left" w:pos="989"/>
        </w:tabs>
        <w:rPr>
          <w:rFonts w:asciiTheme="minorHAnsi" w:hAnsiTheme="minorHAnsi" w:cstheme="minorHAnsi"/>
          <w:sz w:val="20"/>
          <w:szCs w:val="20"/>
        </w:rPr>
      </w:pPr>
    </w:p>
    <w:p w14:paraId="592FEFBA" w14:textId="1F0C85AB" w:rsidR="00D276C0" w:rsidRDefault="00D276C0" w:rsidP="0089653F">
      <w:pPr>
        <w:tabs>
          <w:tab w:val="left" w:pos="989"/>
        </w:tabs>
        <w:rPr>
          <w:rFonts w:asciiTheme="minorHAnsi" w:hAnsiTheme="minorHAnsi" w:cstheme="minorHAnsi"/>
          <w:sz w:val="20"/>
          <w:szCs w:val="20"/>
        </w:rPr>
      </w:pPr>
    </w:p>
    <w:p w14:paraId="3E70B575" w14:textId="04EE1629" w:rsidR="00D276C0" w:rsidRDefault="00D276C0" w:rsidP="0089653F">
      <w:pPr>
        <w:tabs>
          <w:tab w:val="left" w:pos="989"/>
        </w:tabs>
        <w:rPr>
          <w:rFonts w:asciiTheme="minorHAnsi" w:hAnsiTheme="minorHAnsi" w:cstheme="minorHAnsi"/>
          <w:sz w:val="20"/>
          <w:szCs w:val="20"/>
        </w:rPr>
      </w:pPr>
    </w:p>
    <w:p w14:paraId="778188A1" w14:textId="32D27C88" w:rsidR="00D276C0" w:rsidRPr="00DB2968" w:rsidRDefault="00D276C0" w:rsidP="0089653F">
      <w:pPr>
        <w:tabs>
          <w:tab w:val="left" w:pos="989"/>
        </w:tabs>
        <w:rPr>
          <w:rFonts w:asciiTheme="minorHAnsi" w:hAnsiTheme="minorHAnsi" w:cstheme="minorHAnsi"/>
          <w:sz w:val="20"/>
          <w:szCs w:val="20"/>
        </w:rPr>
      </w:pPr>
    </w:p>
    <w:p w14:paraId="461DAF95" w14:textId="7BE5C336" w:rsidR="00487256" w:rsidRPr="00DB2968" w:rsidRDefault="00487256" w:rsidP="0089653F">
      <w:pPr>
        <w:tabs>
          <w:tab w:val="left" w:pos="989"/>
        </w:tabs>
        <w:rPr>
          <w:rFonts w:asciiTheme="minorHAnsi" w:hAnsiTheme="minorHAnsi" w:cstheme="minorHAnsi"/>
          <w:sz w:val="20"/>
          <w:szCs w:val="20"/>
        </w:rPr>
      </w:pPr>
    </w:p>
    <w:tbl>
      <w:tblPr>
        <w:tblW w:w="0" w:type="auto"/>
        <w:tblLook w:val="04A0" w:firstRow="1" w:lastRow="0" w:firstColumn="1" w:lastColumn="0" w:noHBand="0" w:noVBand="1"/>
      </w:tblPr>
      <w:tblGrid>
        <w:gridCol w:w="5654"/>
        <w:gridCol w:w="2104"/>
        <w:gridCol w:w="222"/>
        <w:gridCol w:w="1770"/>
      </w:tblGrid>
      <w:tr w:rsidR="00937254" w:rsidRPr="00937254" w14:paraId="3D482ACF" w14:textId="77777777" w:rsidTr="00937254">
        <w:trPr>
          <w:trHeight w:val="255"/>
        </w:trPr>
        <w:tc>
          <w:tcPr>
            <w:tcW w:w="0" w:type="auto"/>
            <w:tcBorders>
              <w:top w:val="nil"/>
              <w:left w:val="nil"/>
              <w:bottom w:val="nil"/>
              <w:right w:val="nil"/>
            </w:tcBorders>
            <w:shd w:val="clear" w:color="auto" w:fill="auto"/>
            <w:noWrap/>
            <w:vAlign w:val="center"/>
            <w:hideMark/>
          </w:tcPr>
          <w:p w14:paraId="7C315E31"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 Earnings per Share</w:t>
            </w:r>
          </w:p>
        </w:tc>
        <w:tc>
          <w:tcPr>
            <w:tcW w:w="0" w:type="auto"/>
            <w:tcBorders>
              <w:top w:val="nil"/>
              <w:left w:val="nil"/>
              <w:bottom w:val="nil"/>
              <w:right w:val="nil"/>
            </w:tcBorders>
            <w:shd w:val="clear" w:color="auto" w:fill="auto"/>
            <w:noWrap/>
            <w:vAlign w:val="center"/>
            <w:hideMark/>
          </w:tcPr>
          <w:p w14:paraId="0CF780B4"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0E11397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45D5FC9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D7AD8B4" w14:textId="77777777" w:rsidTr="00937254">
        <w:trPr>
          <w:trHeight w:val="255"/>
        </w:trPr>
        <w:tc>
          <w:tcPr>
            <w:tcW w:w="0" w:type="auto"/>
            <w:tcBorders>
              <w:top w:val="nil"/>
              <w:left w:val="nil"/>
              <w:bottom w:val="nil"/>
              <w:right w:val="nil"/>
            </w:tcBorders>
            <w:shd w:val="clear" w:color="auto" w:fill="auto"/>
            <w:noWrap/>
            <w:vAlign w:val="center"/>
            <w:hideMark/>
          </w:tcPr>
          <w:p w14:paraId="149F2E0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39B497EF"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31 July</w:t>
            </w:r>
          </w:p>
        </w:tc>
        <w:tc>
          <w:tcPr>
            <w:tcW w:w="0" w:type="auto"/>
            <w:tcBorders>
              <w:top w:val="nil"/>
              <w:left w:val="nil"/>
              <w:bottom w:val="nil"/>
              <w:right w:val="nil"/>
            </w:tcBorders>
            <w:shd w:val="clear" w:color="auto" w:fill="auto"/>
            <w:noWrap/>
            <w:vAlign w:val="center"/>
            <w:hideMark/>
          </w:tcPr>
          <w:p w14:paraId="60356ECF"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7CE8E3DF"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31 July</w:t>
            </w:r>
          </w:p>
        </w:tc>
      </w:tr>
      <w:tr w:rsidR="00937254" w:rsidRPr="00937254" w14:paraId="63E694CE" w14:textId="77777777" w:rsidTr="00937254">
        <w:trPr>
          <w:trHeight w:val="255"/>
        </w:trPr>
        <w:tc>
          <w:tcPr>
            <w:tcW w:w="0" w:type="auto"/>
            <w:tcBorders>
              <w:top w:val="nil"/>
              <w:left w:val="nil"/>
              <w:bottom w:val="nil"/>
              <w:right w:val="nil"/>
            </w:tcBorders>
            <w:shd w:val="clear" w:color="auto" w:fill="auto"/>
            <w:noWrap/>
            <w:vAlign w:val="center"/>
            <w:hideMark/>
          </w:tcPr>
          <w:p w14:paraId="3CD81A14"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496D3CF1"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2021</w:t>
            </w:r>
          </w:p>
        </w:tc>
        <w:tc>
          <w:tcPr>
            <w:tcW w:w="0" w:type="auto"/>
            <w:tcBorders>
              <w:top w:val="nil"/>
              <w:left w:val="nil"/>
              <w:bottom w:val="nil"/>
              <w:right w:val="nil"/>
            </w:tcBorders>
            <w:shd w:val="clear" w:color="auto" w:fill="auto"/>
            <w:noWrap/>
            <w:vAlign w:val="center"/>
            <w:hideMark/>
          </w:tcPr>
          <w:p w14:paraId="7EC7D4EB"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534046BD" w14:textId="77777777" w:rsidR="00937254" w:rsidRPr="00937254" w:rsidRDefault="00937254" w:rsidP="00937254">
            <w:pPr>
              <w:widowControl/>
              <w:autoSpaceDE/>
              <w:autoSpaceDN/>
              <w:jc w:val="center"/>
              <w:rPr>
                <w:rFonts w:ascii="Arial" w:eastAsia="Times New Roman" w:hAnsi="Arial" w:cs="Arial"/>
                <w:b/>
                <w:bCs/>
                <w:sz w:val="20"/>
                <w:szCs w:val="20"/>
                <w:lang w:bidi="ar-SA"/>
              </w:rPr>
            </w:pPr>
            <w:r w:rsidRPr="00937254">
              <w:rPr>
                <w:rFonts w:ascii="Arial" w:eastAsia="Times New Roman" w:hAnsi="Arial" w:cs="Arial"/>
                <w:b/>
                <w:bCs/>
                <w:sz w:val="20"/>
                <w:szCs w:val="20"/>
                <w:lang w:bidi="ar-SA"/>
              </w:rPr>
              <w:t>2020</w:t>
            </w:r>
          </w:p>
        </w:tc>
      </w:tr>
      <w:tr w:rsidR="00937254" w:rsidRPr="00937254" w14:paraId="37F3209E" w14:textId="77777777" w:rsidTr="00937254">
        <w:trPr>
          <w:trHeight w:val="255"/>
        </w:trPr>
        <w:tc>
          <w:tcPr>
            <w:tcW w:w="0" w:type="auto"/>
            <w:tcBorders>
              <w:top w:val="nil"/>
              <w:left w:val="nil"/>
              <w:bottom w:val="nil"/>
              <w:right w:val="nil"/>
            </w:tcBorders>
            <w:shd w:val="clear" w:color="auto" w:fill="auto"/>
            <w:noWrap/>
            <w:vAlign w:val="center"/>
            <w:hideMark/>
          </w:tcPr>
          <w:p w14:paraId="1FE77C01" w14:textId="77777777" w:rsidR="00937254" w:rsidRPr="00937254" w:rsidRDefault="00937254" w:rsidP="00937254">
            <w:pPr>
              <w:widowControl/>
              <w:autoSpaceDE/>
              <w:autoSpaceDN/>
              <w:jc w:val="center"/>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vAlign w:val="center"/>
            <w:hideMark/>
          </w:tcPr>
          <w:p w14:paraId="0E8CEBB0"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Unaudited</w:t>
            </w:r>
          </w:p>
        </w:tc>
        <w:tc>
          <w:tcPr>
            <w:tcW w:w="0" w:type="auto"/>
            <w:tcBorders>
              <w:top w:val="nil"/>
              <w:left w:val="nil"/>
              <w:bottom w:val="nil"/>
              <w:right w:val="nil"/>
            </w:tcBorders>
            <w:shd w:val="clear" w:color="auto" w:fill="auto"/>
            <w:noWrap/>
            <w:vAlign w:val="center"/>
            <w:hideMark/>
          </w:tcPr>
          <w:p w14:paraId="4F3A70B0"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10020128"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Audited</w:t>
            </w:r>
          </w:p>
        </w:tc>
      </w:tr>
      <w:tr w:rsidR="00937254" w:rsidRPr="00937254" w14:paraId="53A1BCDE" w14:textId="77777777" w:rsidTr="00937254">
        <w:trPr>
          <w:trHeight w:val="255"/>
        </w:trPr>
        <w:tc>
          <w:tcPr>
            <w:tcW w:w="0" w:type="auto"/>
            <w:tcBorders>
              <w:top w:val="nil"/>
              <w:left w:val="nil"/>
              <w:bottom w:val="nil"/>
              <w:right w:val="nil"/>
            </w:tcBorders>
            <w:shd w:val="clear" w:color="auto" w:fill="auto"/>
            <w:noWrap/>
            <w:vAlign w:val="center"/>
            <w:hideMark/>
          </w:tcPr>
          <w:p w14:paraId="05371303" w14:textId="77777777" w:rsidR="00937254" w:rsidRPr="00937254" w:rsidRDefault="00937254" w:rsidP="00937254">
            <w:pPr>
              <w:widowControl/>
              <w:autoSpaceDE/>
              <w:autoSpaceDN/>
              <w:jc w:val="center"/>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2CE103C0"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w:t>
            </w:r>
          </w:p>
        </w:tc>
        <w:tc>
          <w:tcPr>
            <w:tcW w:w="0" w:type="auto"/>
            <w:tcBorders>
              <w:top w:val="nil"/>
              <w:left w:val="nil"/>
              <w:bottom w:val="nil"/>
              <w:right w:val="nil"/>
            </w:tcBorders>
            <w:shd w:val="clear" w:color="auto" w:fill="auto"/>
            <w:noWrap/>
            <w:vAlign w:val="center"/>
            <w:hideMark/>
          </w:tcPr>
          <w:p w14:paraId="4F59B64A" w14:textId="77777777" w:rsidR="00937254" w:rsidRPr="00937254" w:rsidRDefault="00937254" w:rsidP="00937254">
            <w:pPr>
              <w:widowControl/>
              <w:autoSpaceDE/>
              <w:autoSpaceDN/>
              <w:jc w:val="right"/>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3FB3110C" w14:textId="77777777" w:rsidR="00937254" w:rsidRPr="00937254" w:rsidRDefault="00937254" w:rsidP="00937254">
            <w:pPr>
              <w:widowControl/>
              <w:autoSpaceDE/>
              <w:autoSpaceDN/>
              <w:jc w:val="right"/>
              <w:rPr>
                <w:rFonts w:ascii="Arial" w:eastAsia="Times New Roman" w:hAnsi="Arial" w:cs="Arial"/>
                <w:b/>
                <w:bCs/>
                <w:sz w:val="20"/>
                <w:szCs w:val="20"/>
                <w:lang w:bidi="ar-SA"/>
              </w:rPr>
            </w:pPr>
            <w:r w:rsidRPr="00937254">
              <w:rPr>
                <w:rFonts w:ascii="Arial" w:eastAsia="Times New Roman" w:hAnsi="Arial" w:cs="Arial"/>
                <w:b/>
                <w:bCs/>
                <w:sz w:val="20"/>
                <w:szCs w:val="20"/>
                <w:lang w:bidi="ar-SA"/>
              </w:rPr>
              <w:t>£</w:t>
            </w:r>
          </w:p>
        </w:tc>
      </w:tr>
      <w:tr w:rsidR="00937254" w:rsidRPr="00937254" w14:paraId="482C76FE" w14:textId="77777777" w:rsidTr="00937254">
        <w:trPr>
          <w:trHeight w:val="255"/>
        </w:trPr>
        <w:tc>
          <w:tcPr>
            <w:tcW w:w="0" w:type="auto"/>
            <w:tcBorders>
              <w:top w:val="nil"/>
              <w:left w:val="nil"/>
              <w:bottom w:val="nil"/>
              <w:right w:val="nil"/>
            </w:tcBorders>
            <w:shd w:val="clear" w:color="auto" w:fill="auto"/>
            <w:noWrap/>
            <w:vAlign w:val="center"/>
            <w:hideMark/>
          </w:tcPr>
          <w:p w14:paraId="7ED783BC"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(Loss) profit</w:t>
            </w:r>
          </w:p>
        </w:tc>
        <w:tc>
          <w:tcPr>
            <w:tcW w:w="0" w:type="auto"/>
            <w:tcBorders>
              <w:top w:val="nil"/>
              <w:left w:val="nil"/>
              <w:bottom w:val="nil"/>
              <w:right w:val="nil"/>
            </w:tcBorders>
            <w:shd w:val="clear" w:color="auto" w:fill="auto"/>
            <w:noWrap/>
            <w:vAlign w:val="center"/>
            <w:hideMark/>
          </w:tcPr>
          <w:p w14:paraId="2CE5C380"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0589D74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14136C3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854CEBD" w14:textId="77777777" w:rsidTr="00937254">
        <w:trPr>
          <w:trHeight w:val="765"/>
        </w:trPr>
        <w:tc>
          <w:tcPr>
            <w:tcW w:w="0" w:type="auto"/>
            <w:tcBorders>
              <w:top w:val="nil"/>
              <w:left w:val="nil"/>
              <w:bottom w:val="nil"/>
              <w:right w:val="nil"/>
            </w:tcBorders>
            <w:shd w:val="clear" w:color="auto" w:fill="auto"/>
            <w:vAlign w:val="center"/>
            <w:hideMark/>
          </w:tcPr>
          <w:p w14:paraId="6CDDBA66"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The (loss) profit for the purposes of basic and diluted loss per share being the net (loss) profit</w:t>
            </w:r>
          </w:p>
        </w:tc>
        <w:tc>
          <w:tcPr>
            <w:tcW w:w="0" w:type="auto"/>
            <w:tcBorders>
              <w:top w:val="nil"/>
              <w:left w:val="nil"/>
              <w:bottom w:val="nil"/>
              <w:right w:val="nil"/>
            </w:tcBorders>
            <w:shd w:val="clear" w:color="auto" w:fill="auto"/>
            <w:noWrap/>
            <w:vAlign w:val="center"/>
            <w:hideMark/>
          </w:tcPr>
          <w:p w14:paraId="1144C9E0"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center"/>
            <w:hideMark/>
          </w:tcPr>
          <w:p w14:paraId="170162B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2B3556E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229C4C2" w14:textId="77777777" w:rsidTr="00937254">
        <w:trPr>
          <w:trHeight w:val="255"/>
        </w:trPr>
        <w:tc>
          <w:tcPr>
            <w:tcW w:w="0" w:type="auto"/>
            <w:tcBorders>
              <w:top w:val="nil"/>
              <w:left w:val="nil"/>
              <w:bottom w:val="nil"/>
              <w:right w:val="nil"/>
            </w:tcBorders>
            <w:shd w:val="clear" w:color="auto" w:fill="auto"/>
            <w:vAlign w:val="center"/>
            <w:hideMark/>
          </w:tcPr>
          <w:p w14:paraId="288C002E"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attributable to equity shareholders</w:t>
            </w:r>
          </w:p>
        </w:tc>
        <w:tc>
          <w:tcPr>
            <w:tcW w:w="0" w:type="auto"/>
            <w:tcBorders>
              <w:top w:val="nil"/>
              <w:left w:val="nil"/>
              <w:bottom w:val="nil"/>
              <w:right w:val="nil"/>
            </w:tcBorders>
            <w:shd w:val="clear" w:color="auto" w:fill="auto"/>
            <w:noWrap/>
            <w:vAlign w:val="center"/>
            <w:hideMark/>
          </w:tcPr>
          <w:p w14:paraId="1DEF9E2F"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center"/>
            <w:hideMark/>
          </w:tcPr>
          <w:p w14:paraId="0C9430C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2C1F91D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FD9CA70" w14:textId="77777777" w:rsidTr="00937254">
        <w:trPr>
          <w:trHeight w:val="330"/>
        </w:trPr>
        <w:tc>
          <w:tcPr>
            <w:tcW w:w="0" w:type="auto"/>
            <w:tcBorders>
              <w:top w:val="nil"/>
              <w:left w:val="nil"/>
              <w:bottom w:val="single" w:sz="4" w:space="0" w:color="auto"/>
              <w:right w:val="nil"/>
            </w:tcBorders>
            <w:shd w:val="clear" w:color="auto" w:fill="auto"/>
            <w:vAlign w:val="center"/>
            <w:hideMark/>
          </w:tcPr>
          <w:p w14:paraId="276E2B68"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Continuing Operations</w:t>
            </w:r>
          </w:p>
        </w:tc>
        <w:tc>
          <w:tcPr>
            <w:tcW w:w="0" w:type="auto"/>
            <w:tcBorders>
              <w:top w:val="nil"/>
              <w:left w:val="nil"/>
              <w:bottom w:val="single" w:sz="4" w:space="0" w:color="auto"/>
              <w:right w:val="nil"/>
            </w:tcBorders>
            <w:shd w:val="clear" w:color="auto" w:fill="auto"/>
            <w:vAlign w:val="center"/>
            <w:hideMark/>
          </w:tcPr>
          <w:p w14:paraId="488401F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(16,661,349)</w:t>
            </w:r>
          </w:p>
        </w:tc>
        <w:tc>
          <w:tcPr>
            <w:tcW w:w="0" w:type="auto"/>
            <w:tcBorders>
              <w:top w:val="nil"/>
              <w:left w:val="nil"/>
              <w:bottom w:val="nil"/>
              <w:right w:val="nil"/>
            </w:tcBorders>
            <w:shd w:val="clear" w:color="auto" w:fill="auto"/>
            <w:vAlign w:val="center"/>
            <w:hideMark/>
          </w:tcPr>
          <w:p w14:paraId="0B4BF14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single" w:sz="4" w:space="0" w:color="auto"/>
              <w:right w:val="nil"/>
            </w:tcBorders>
            <w:shd w:val="clear" w:color="auto" w:fill="auto"/>
            <w:vAlign w:val="center"/>
            <w:hideMark/>
          </w:tcPr>
          <w:p w14:paraId="7B748330"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(10,409,875)</w:t>
            </w:r>
          </w:p>
        </w:tc>
      </w:tr>
      <w:tr w:rsidR="00937254" w:rsidRPr="00937254" w14:paraId="3D0521D4" w14:textId="77777777" w:rsidTr="00937254">
        <w:trPr>
          <w:trHeight w:val="255"/>
        </w:trPr>
        <w:tc>
          <w:tcPr>
            <w:tcW w:w="0" w:type="auto"/>
            <w:tcBorders>
              <w:top w:val="nil"/>
              <w:left w:val="nil"/>
              <w:bottom w:val="nil"/>
              <w:right w:val="nil"/>
            </w:tcBorders>
            <w:shd w:val="clear" w:color="auto" w:fill="auto"/>
            <w:vAlign w:val="center"/>
            <w:hideMark/>
          </w:tcPr>
          <w:p w14:paraId="21380A39"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center"/>
            <w:hideMark/>
          </w:tcPr>
          <w:p w14:paraId="7DECF6E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06C83590"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49BB99B9"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6F8B26E0" w14:textId="77777777" w:rsidTr="00937254">
        <w:trPr>
          <w:trHeight w:val="255"/>
        </w:trPr>
        <w:tc>
          <w:tcPr>
            <w:tcW w:w="0" w:type="auto"/>
            <w:tcBorders>
              <w:top w:val="nil"/>
              <w:left w:val="nil"/>
              <w:bottom w:val="nil"/>
              <w:right w:val="nil"/>
            </w:tcBorders>
            <w:shd w:val="clear" w:color="auto" w:fill="auto"/>
            <w:vAlign w:val="center"/>
            <w:hideMark/>
          </w:tcPr>
          <w:p w14:paraId="08EF90C5"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6991855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0EB66302"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060100DF"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74D6E0A7" w14:textId="77777777" w:rsidTr="00937254">
        <w:trPr>
          <w:trHeight w:val="255"/>
        </w:trPr>
        <w:tc>
          <w:tcPr>
            <w:tcW w:w="0" w:type="auto"/>
            <w:tcBorders>
              <w:top w:val="nil"/>
              <w:left w:val="nil"/>
              <w:bottom w:val="nil"/>
              <w:right w:val="nil"/>
            </w:tcBorders>
            <w:shd w:val="clear" w:color="auto" w:fill="auto"/>
            <w:vAlign w:val="center"/>
            <w:hideMark/>
          </w:tcPr>
          <w:p w14:paraId="485F6499"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Number of shares</w:t>
            </w:r>
          </w:p>
        </w:tc>
        <w:tc>
          <w:tcPr>
            <w:tcW w:w="0" w:type="auto"/>
            <w:tcBorders>
              <w:top w:val="nil"/>
              <w:left w:val="nil"/>
              <w:bottom w:val="nil"/>
              <w:right w:val="nil"/>
            </w:tcBorders>
            <w:shd w:val="clear" w:color="auto" w:fill="auto"/>
            <w:noWrap/>
            <w:vAlign w:val="center"/>
            <w:hideMark/>
          </w:tcPr>
          <w:p w14:paraId="0EA319ED"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2226527F"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33378ADC"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689EE97B" w14:textId="77777777" w:rsidTr="00937254">
        <w:trPr>
          <w:trHeight w:val="510"/>
        </w:trPr>
        <w:tc>
          <w:tcPr>
            <w:tcW w:w="0" w:type="auto"/>
            <w:tcBorders>
              <w:top w:val="nil"/>
              <w:left w:val="nil"/>
              <w:bottom w:val="nil"/>
              <w:right w:val="nil"/>
            </w:tcBorders>
            <w:shd w:val="clear" w:color="auto" w:fill="auto"/>
            <w:vAlign w:val="center"/>
            <w:hideMark/>
          </w:tcPr>
          <w:p w14:paraId="7275527D"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Weighted average number of ordinary shares for the purpose of:</w:t>
            </w:r>
          </w:p>
        </w:tc>
        <w:tc>
          <w:tcPr>
            <w:tcW w:w="0" w:type="auto"/>
            <w:tcBorders>
              <w:top w:val="nil"/>
              <w:left w:val="nil"/>
              <w:bottom w:val="nil"/>
              <w:right w:val="nil"/>
            </w:tcBorders>
            <w:shd w:val="clear" w:color="auto" w:fill="auto"/>
            <w:noWrap/>
            <w:vAlign w:val="center"/>
            <w:hideMark/>
          </w:tcPr>
          <w:p w14:paraId="19EA6DF0" w14:textId="77777777" w:rsidR="00937254" w:rsidRPr="00937254" w:rsidRDefault="00937254" w:rsidP="00937254">
            <w:pPr>
              <w:widowControl/>
              <w:autoSpaceDE/>
              <w:autoSpaceDN/>
              <w:rPr>
                <w:rFonts w:ascii="Arial" w:eastAsia="Times New Roman" w:hAnsi="Arial" w:cs="Arial"/>
                <w:sz w:val="20"/>
                <w:szCs w:val="20"/>
                <w:lang w:bidi="ar-SA"/>
              </w:rPr>
            </w:pPr>
          </w:p>
        </w:tc>
        <w:tc>
          <w:tcPr>
            <w:tcW w:w="0" w:type="auto"/>
            <w:tcBorders>
              <w:top w:val="nil"/>
              <w:left w:val="nil"/>
              <w:bottom w:val="nil"/>
              <w:right w:val="nil"/>
            </w:tcBorders>
            <w:shd w:val="clear" w:color="auto" w:fill="auto"/>
            <w:noWrap/>
            <w:vAlign w:val="center"/>
            <w:hideMark/>
          </w:tcPr>
          <w:p w14:paraId="518852A6"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75D78890"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50E20036" w14:textId="77777777" w:rsidTr="00937254">
        <w:trPr>
          <w:trHeight w:val="255"/>
        </w:trPr>
        <w:tc>
          <w:tcPr>
            <w:tcW w:w="0" w:type="auto"/>
            <w:tcBorders>
              <w:top w:val="nil"/>
              <w:left w:val="nil"/>
              <w:bottom w:val="nil"/>
              <w:right w:val="nil"/>
            </w:tcBorders>
            <w:shd w:val="clear" w:color="auto" w:fill="auto"/>
            <w:vAlign w:val="center"/>
            <w:hideMark/>
          </w:tcPr>
          <w:p w14:paraId="3370068D"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Basic earnings per share</w:t>
            </w:r>
          </w:p>
        </w:tc>
        <w:tc>
          <w:tcPr>
            <w:tcW w:w="0" w:type="auto"/>
            <w:tcBorders>
              <w:top w:val="nil"/>
              <w:left w:val="nil"/>
              <w:bottom w:val="nil"/>
              <w:right w:val="nil"/>
            </w:tcBorders>
            <w:shd w:val="clear" w:color="auto" w:fill="auto"/>
            <w:noWrap/>
            <w:vAlign w:val="center"/>
            <w:hideMark/>
          </w:tcPr>
          <w:p w14:paraId="6BB81428"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3,142,111,198 </w:t>
            </w:r>
          </w:p>
        </w:tc>
        <w:tc>
          <w:tcPr>
            <w:tcW w:w="0" w:type="auto"/>
            <w:tcBorders>
              <w:top w:val="nil"/>
              <w:left w:val="nil"/>
              <w:bottom w:val="nil"/>
              <w:right w:val="nil"/>
            </w:tcBorders>
            <w:shd w:val="clear" w:color="auto" w:fill="auto"/>
            <w:noWrap/>
            <w:vAlign w:val="center"/>
            <w:hideMark/>
          </w:tcPr>
          <w:p w14:paraId="0FEA2092"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center"/>
            <w:hideMark/>
          </w:tcPr>
          <w:p w14:paraId="23F0330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3,066,492,117 </w:t>
            </w:r>
          </w:p>
        </w:tc>
      </w:tr>
      <w:tr w:rsidR="00937254" w:rsidRPr="00937254" w14:paraId="33E8660C" w14:textId="77777777" w:rsidTr="00937254">
        <w:trPr>
          <w:trHeight w:val="255"/>
        </w:trPr>
        <w:tc>
          <w:tcPr>
            <w:tcW w:w="0" w:type="auto"/>
            <w:tcBorders>
              <w:top w:val="nil"/>
              <w:left w:val="nil"/>
              <w:bottom w:val="nil"/>
              <w:right w:val="nil"/>
            </w:tcBorders>
            <w:shd w:val="clear" w:color="auto" w:fill="auto"/>
            <w:vAlign w:val="center"/>
            <w:hideMark/>
          </w:tcPr>
          <w:p w14:paraId="092EF6B4" w14:textId="77777777" w:rsidR="00937254" w:rsidRPr="00937254" w:rsidRDefault="00937254" w:rsidP="00937254">
            <w:pPr>
              <w:widowControl/>
              <w:autoSpaceDE/>
              <w:autoSpaceDN/>
              <w:rPr>
                <w:rFonts w:ascii="Arial" w:eastAsia="Times New Roman" w:hAnsi="Arial" w:cs="Arial"/>
                <w:b/>
                <w:bCs/>
                <w:sz w:val="20"/>
                <w:szCs w:val="20"/>
                <w:lang w:bidi="ar-SA"/>
              </w:rPr>
            </w:pPr>
            <w:r w:rsidRPr="00937254">
              <w:rPr>
                <w:rFonts w:ascii="Arial" w:eastAsia="Times New Roman" w:hAnsi="Arial" w:cs="Arial"/>
                <w:b/>
                <w:bCs/>
                <w:sz w:val="20"/>
                <w:szCs w:val="20"/>
                <w:lang w:bidi="ar-SA"/>
              </w:rPr>
              <w:t>Basic and diluted earnings per share</w:t>
            </w:r>
          </w:p>
        </w:tc>
        <w:tc>
          <w:tcPr>
            <w:tcW w:w="0" w:type="auto"/>
            <w:tcBorders>
              <w:top w:val="nil"/>
              <w:left w:val="nil"/>
              <w:bottom w:val="nil"/>
              <w:right w:val="nil"/>
            </w:tcBorders>
            <w:shd w:val="clear" w:color="auto" w:fill="auto"/>
            <w:noWrap/>
            <w:vAlign w:val="center"/>
            <w:hideMark/>
          </w:tcPr>
          <w:p w14:paraId="69BB1E1F" w14:textId="77777777" w:rsidR="00937254" w:rsidRPr="00937254" w:rsidRDefault="00937254" w:rsidP="00937254">
            <w:pPr>
              <w:widowControl/>
              <w:autoSpaceDE/>
              <w:autoSpaceDN/>
              <w:rPr>
                <w:rFonts w:ascii="Arial" w:eastAsia="Times New Roman" w:hAnsi="Arial" w:cs="Arial"/>
                <w:b/>
                <w:bCs/>
                <w:sz w:val="20"/>
                <w:szCs w:val="20"/>
                <w:lang w:bidi="ar-SA"/>
              </w:rPr>
            </w:pPr>
          </w:p>
        </w:tc>
        <w:tc>
          <w:tcPr>
            <w:tcW w:w="0" w:type="auto"/>
            <w:tcBorders>
              <w:top w:val="nil"/>
              <w:left w:val="nil"/>
              <w:bottom w:val="nil"/>
              <w:right w:val="nil"/>
            </w:tcBorders>
            <w:shd w:val="clear" w:color="auto" w:fill="auto"/>
            <w:noWrap/>
            <w:vAlign w:val="center"/>
            <w:hideMark/>
          </w:tcPr>
          <w:p w14:paraId="4A7F7715"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17084915" w14:textId="77777777" w:rsidR="00937254" w:rsidRPr="00937254" w:rsidRDefault="00937254" w:rsidP="00937254">
            <w:pPr>
              <w:widowControl/>
              <w:autoSpaceDE/>
              <w:autoSpaceDN/>
              <w:jc w:val="right"/>
              <w:rPr>
                <w:rFonts w:ascii="Times New Roman" w:eastAsia="Times New Roman" w:hAnsi="Times New Roman" w:cs="Times New Roman"/>
                <w:sz w:val="20"/>
                <w:szCs w:val="20"/>
                <w:lang w:bidi="ar-SA"/>
              </w:rPr>
            </w:pPr>
          </w:p>
        </w:tc>
      </w:tr>
      <w:tr w:rsidR="00937254" w:rsidRPr="00937254" w14:paraId="4A8F05F9" w14:textId="77777777" w:rsidTr="00937254">
        <w:trPr>
          <w:trHeight w:val="255"/>
        </w:trPr>
        <w:tc>
          <w:tcPr>
            <w:tcW w:w="0" w:type="auto"/>
            <w:tcBorders>
              <w:top w:val="nil"/>
              <w:left w:val="nil"/>
              <w:bottom w:val="single" w:sz="4" w:space="0" w:color="auto"/>
              <w:right w:val="nil"/>
            </w:tcBorders>
            <w:shd w:val="clear" w:color="auto" w:fill="auto"/>
            <w:vAlign w:val="center"/>
            <w:hideMark/>
          </w:tcPr>
          <w:p w14:paraId="759FB5C5" w14:textId="77777777" w:rsidR="00937254" w:rsidRPr="00937254" w:rsidRDefault="00937254" w:rsidP="00937254">
            <w:pPr>
              <w:widowControl/>
              <w:autoSpaceDE/>
              <w:autoSpaceDN/>
              <w:rPr>
                <w:rFonts w:ascii="Arial" w:eastAsia="Times New Roman" w:hAnsi="Arial" w:cs="Arial"/>
                <w:sz w:val="20"/>
                <w:szCs w:val="20"/>
                <w:lang w:bidi="ar-SA"/>
              </w:rPr>
            </w:pPr>
            <w:r w:rsidRPr="00937254">
              <w:rPr>
                <w:rFonts w:ascii="Arial" w:eastAsia="Times New Roman" w:hAnsi="Arial" w:cs="Arial"/>
                <w:sz w:val="20"/>
                <w:szCs w:val="20"/>
                <w:lang w:bidi="ar-SA"/>
              </w:rPr>
              <w:t>Continuing Operations</w:t>
            </w:r>
          </w:p>
        </w:tc>
        <w:tc>
          <w:tcPr>
            <w:tcW w:w="0" w:type="auto"/>
            <w:tcBorders>
              <w:top w:val="nil"/>
              <w:left w:val="nil"/>
              <w:bottom w:val="single" w:sz="4" w:space="0" w:color="auto"/>
              <w:right w:val="nil"/>
            </w:tcBorders>
            <w:shd w:val="clear" w:color="auto" w:fill="auto"/>
            <w:noWrap/>
            <w:vAlign w:val="center"/>
            <w:hideMark/>
          </w:tcPr>
          <w:p w14:paraId="0B0D377D"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(0.53)</w:t>
            </w:r>
          </w:p>
        </w:tc>
        <w:tc>
          <w:tcPr>
            <w:tcW w:w="0" w:type="auto"/>
            <w:tcBorders>
              <w:top w:val="nil"/>
              <w:left w:val="nil"/>
              <w:bottom w:val="nil"/>
              <w:right w:val="nil"/>
            </w:tcBorders>
            <w:shd w:val="clear" w:color="auto" w:fill="auto"/>
            <w:noWrap/>
            <w:vAlign w:val="center"/>
            <w:hideMark/>
          </w:tcPr>
          <w:p w14:paraId="15165FB3" w14:textId="77777777" w:rsidR="00937254" w:rsidRPr="00937254" w:rsidRDefault="00937254" w:rsidP="00937254">
            <w:pPr>
              <w:widowControl/>
              <w:autoSpaceDE/>
              <w:autoSpaceDN/>
              <w:jc w:val="right"/>
              <w:rPr>
                <w:rFonts w:ascii="Arial" w:eastAsia="Times New Roman" w:hAnsi="Arial" w:cs="Arial"/>
                <w:sz w:val="20"/>
                <w:szCs w:val="20"/>
                <w:lang w:bidi="ar-SA"/>
              </w:rPr>
            </w:pPr>
          </w:p>
        </w:tc>
        <w:tc>
          <w:tcPr>
            <w:tcW w:w="0" w:type="auto"/>
            <w:tcBorders>
              <w:top w:val="nil"/>
              <w:left w:val="nil"/>
              <w:bottom w:val="single" w:sz="4" w:space="0" w:color="auto"/>
              <w:right w:val="nil"/>
            </w:tcBorders>
            <w:shd w:val="clear" w:color="auto" w:fill="auto"/>
            <w:noWrap/>
            <w:vAlign w:val="center"/>
            <w:hideMark/>
          </w:tcPr>
          <w:p w14:paraId="16620CBA" w14:textId="77777777" w:rsidR="00937254" w:rsidRPr="00937254" w:rsidRDefault="00937254" w:rsidP="00937254">
            <w:pPr>
              <w:widowControl/>
              <w:autoSpaceDE/>
              <w:autoSpaceDN/>
              <w:jc w:val="right"/>
              <w:rPr>
                <w:rFonts w:ascii="Arial" w:eastAsia="Times New Roman" w:hAnsi="Arial" w:cs="Arial"/>
                <w:sz w:val="20"/>
                <w:szCs w:val="20"/>
                <w:lang w:bidi="ar-SA"/>
              </w:rPr>
            </w:pPr>
            <w:r w:rsidRPr="00937254">
              <w:rPr>
                <w:rFonts w:ascii="Arial" w:eastAsia="Times New Roman" w:hAnsi="Arial" w:cs="Arial"/>
                <w:sz w:val="20"/>
                <w:szCs w:val="20"/>
                <w:lang w:bidi="ar-SA"/>
              </w:rPr>
              <w:t xml:space="preserve">                  (0.34)</w:t>
            </w:r>
          </w:p>
        </w:tc>
      </w:tr>
    </w:tbl>
    <w:p w14:paraId="387EF7E3" w14:textId="07F8B9B9" w:rsidR="00487256" w:rsidRPr="00DB2968" w:rsidRDefault="00487256" w:rsidP="0089653F">
      <w:pPr>
        <w:tabs>
          <w:tab w:val="left" w:pos="989"/>
        </w:tabs>
        <w:rPr>
          <w:rFonts w:asciiTheme="minorHAnsi" w:hAnsiTheme="minorHAnsi" w:cstheme="minorHAnsi"/>
          <w:sz w:val="20"/>
          <w:szCs w:val="20"/>
        </w:rPr>
      </w:pPr>
    </w:p>
    <w:p w14:paraId="6BF9A1FB" w14:textId="62C807BA" w:rsidR="00487256" w:rsidRPr="00DB2968" w:rsidRDefault="00487256" w:rsidP="0089653F">
      <w:pPr>
        <w:tabs>
          <w:tab w:val="left" w:pos="989"/>
        </w:tabs>
        <w:rPr>
          <w:rFonts w:asciiTheme="minorHAnsi" w:hAnsiTheme="minorHAnsi" w:cstheme="minorHAnsi"/>
          <w:sz w:val="20"/>
          <w:szCs w:val="20"/>
        </w:rPr>
      </w:pPr>
    </w:p>
    <w:p w14:paraId="2EDD59FD" w14:textId="7CD21C91" w:rsidR="00487256" w:rsidRPr="00DB2968" w:rsidRDefault="00487256" w:rsidP="0089653F">
      <w:pPr>
        <w:tabs>
          <w:tab w:val="left" w:pos="989"/>
        </w:tabs>
        <w:rPr>
          <w:rFonts w:asciiTheme="minorHAnsi" w:hAnsiTheme="minorHAnsi" w:cstheme="minorHAnsi"/>
          <w:sz w:val="20"/>
          <w:szCs w:val="20"/>
        </w:rPr>
      </w:pPr>
    </w:p>
    <w:p w14:paraId="239EE8D4" w14:textId="2256D420" w:rsidR="00487256" w:rsidRPr="00DB2968" w:rsidRDefault="00487256" w:rsidP="0089653F">
      <w:pPr>
        <w:tabs>
          <w:tab w:val="left" w:pos="989"/>
        </w:tabs>
        <w:rPr>
          <w:rFonts w:asciiTheme="minorHAnsi" w:hAnsiTheme="minorHAnsi" w:cstheme="minorHAnsi"/>
          <w:sz w:val="20"/>
          <w:szCs w:val="20"/>
        </w:rPr>
      </w:pPr>
    </w:p>
    <w:p w14:paraId="7814918F" w14:textId="48211528" w:rsidR="00487256" w:rsidRPr="00DB2968" w:rsidRDefault="00487256" w:rsidP="0089653F">
      <w:pPr>
        <w:tabs>
          <w:tab w:val="left" w:pos="989"/>
        </w:tabs>
        <w:rPr>
          <w:rFonts w:asciiTheme="minorHAnsi" w:hAnsiTheme="minorHAnsi" w:cstheme="minorHAnsi"/>
          <w:sz w:val="20"/>
          <w:szCs w:val="20"/>
        </w:rPr>
      </w:pPr>
    </w:p>
    <w:p w14:paraId="38358343" w14:textId="77F9721C" w:rsidR="00487256" w:rsidRPr="00DB2968" w:rsidRDefault="00487256" w:rsidP="0089653F">
      <w:pPr>
        <w:tabs>
          <w:tab w:val="left" w:pos="989"/>
        </w:tabs>
        <w:rPr>
          <w:rFonts w:asciiTheme="minorHAnsi" w:hAnsiTheme="minorHAnsi" w:cstheme="minorHAnsi"/>
          <w:sz w:val="20"/>
          <w:szCs w:val="20"/>
        </w:rPr>
      </w:pPr>
    </w:p>
    <w:p w14:paraId="379B9508" w14:textId="66B12D4B" w:rsidR="00487256" w:rsidRPr="00DB2968" w:rsidRDefault="00487256" w:rsidP="0089653F">
      <w:pPr>
        <w:tabs>
          <w:tab w:val="left" w:pos="989"/>
        </w:tabs>
        <w:rPr>
          <w:rFonts w:asciiTheme="minorHAnsi" w:hAnsiTheme="minorHAnsi" w:cstheme="minorHAnsi"/>
          <w:sz w:val="20"/>
          <w:szCs w:val="20"/>
        </w:rPr>
      </w:pPr>
    </w:p>
    <w:p w14:paraId="36238AD6" w14:textId="0C91FF80" w:rsidR="00487256" w:rsidRPr="00DB2968" w:rsidRDefault="00487256" w:rsidP="0089653F">
      <w:pPr>
        <w:tabs>
          <w:tab w:val="left" w:pos="989"/>
        </w:tabs>
        <w:rPr>
          <w:rFonts w:asciiTheme="minorHAnsi" w:hAnsiTheme="minorHAnsi" w:cstheme="minorHAnsi"/>
          <w:sz w:val="20"/>
          <w:szCs w:val="20"/>
        </w:rPr>
      </w:pPr>
    </w:p>
    <w:p w14:paraId="5803771D" w14:textId="17FD746C" w:rsidR="00487256" w:rsidRPr="00DB2968" w:rsidRDefault="00487256" w:rsidP="0089653F">
      <w:pPr>
        <w:tabs>
          <w:tab w:val="left" w:pos="989"/>
        </w:tabs>
        <w:rPr>
          <w:rFonts w:asciiTheme="minorHAnsi" w:hAnsiTheme="minorHAnsi" w:cstheme="minorHAnsi"/>
          <w:sz w:val="20"/>
          <w:szCs w:val="20"/>
        </w:rPr>
      </w:pPr>
    </w:p>
    <w:p w14:paraId="71680163" w14:textId="3E0A2EF9" w:rsidR="00487256" w:rsidRPr="00DB2968" w:rsidRDefault="00487256" w:rsidP="0089653F">
      <w:pPr>
        <w:tabs>
          <w:tab w:val="left" w:pos="989"/>
        </w:tabs>
        <w:rPr>
          <w:rFonts w:asciiTheme="minorHAnsi" w:hAnsiTheme="minorHAnsi" w:cstheme="minorHAnsi"/>
          <w:sz w:val="20"/>
          <w:szCs w:val="20"/>
        </w:rPr>
      </w:pPr>
    </w:p>
    <w:p w14:paraId="27B8D19D" w14:textId="784E2EA0" w:rsidR="00487256" w:rsidRPr="00DB2968" w:rsidRDefault="00487256" w:rsidP="0089653F">
      <w:pPr>
        <w:tabs>
          <w:tab w:val="left" w:pos="989"/>
        </w:tabs>
        <w:rPr>
          <w:rFonts w:asciiTheme="minorHAnsi" w:hAnsiTheme="minorHAnsi" w:cstheme="minorHAnsi"/>
          <w:sz w:val="20"/>
          <w:szCs w:val="20"/>
        </w:rPr>
      </w:pPr>
    </w:p>
    <w:p w14:paraId="6A5FB1F9" w14:textId="743B956A" w:rsidR="00487256" w:rsidRPr="00DB2968" w:rsidRDefault="00487256" w:rsidP="0089653F">
      <w:pPr>
        <w:tabs>
          <w:tab w:val="left" w:pos="989"/>
        </w:tabs>
        <w:rPr>
          <w:rFonts w:asciiTheme="minorHAnsi" w:hAnsiTheme="minorHAnsi" w:cstheme="minorHAnsi"/>
          <w:sz w:val="20"/>
          <w:szCs w:val="20"/>
        </w:rPr>
      </w:pPr>
    </w:p>
    <w:p w14:paraId="2CDFFC4B" w14:textId="27DE9B98" w:rsidR="00487256" w:rsidRPr="00DB2968" w:rsidRDefault="00487256" w:rsidP="0089653F">
      <w:pPr>
        <w:tabs>
          <w:tab w:val="left" w:pos="989"/>
        </w:tabs>
        <w:rPr>
          <w:rFonts w:asciiTheme="minorHAnsi" w:hAnsiTheme="minorHAnsi" w:cstheme="minorHAnsi"/>
          <w:sz w:val="20"/>
          <w:szCs w:val="20"/>
        </w:rPr>
      </w:pPr>
    </w:p>
    <w:p w14:paraId="2203E199" w14:textId="09F27A16" w:rsidR="00487256" w:rsidRPr="00DB2968" w:rsidRDefault="00487256" w:rsidP="0089653F">
      <w:pPr>
        <w:tabs>
          <w:tab w:val="left" w:pos="989"/>
        </w:tabs>
        <w:rPr>
          <w:rFonts w:asciiTheme="minorHAnsi" w:hAnsiTheme="minorHAnsi" w:cstheme="minorHAnsi"/>
          <w:sz w:val="20"/>
          <w:szCs w:val="20"/>
        </w:rPr>
      </w:pPr>
    </w:p>
    <w:p w14:paraId="364246C1" w14:textId="27A12CC3" w:rsidR="00487256" w:rsidRPr="00DB2968" w:rsidRDefault="00487256" w:rsidP="0089653F">
      <w:pPr>
        <w:tabs>
          <w:tab w:val="left" w:pos="989"/>
        </w:tabs>
        <w:rPr>
          <w:rFonts w:asciiTheme="minorHAnsi" w:hAnsiTheme="minorHAnsi" w:cstheme="minorHAnsi"/>
          <w:sz w:val="20"/>
          <w:szCs w:val="20"/>
        </w:rPr>
      </w:pPr>
    </w:p>
    <w:p w14:paraId="6D3EF5BA" w14:textId="2365C5F3" w:rsidR="00487256" w:rsidRPr="00DB2968" w:rsidRDefault="00487256" w:rsidP="0089653F">
      <w:pPr>
        <w:tabs>
          <w:tab w:val="left" w:pos="989"/>
        </w:tabs>
        <w:rPr>
          <w:rFonts w:asciiTheme="minorHAnsi" w:hAnsiTheme="minorHAnsi" w:cstheme="minorHAnsi"/>
          <w:sz w:val="20"/>
          <w:szCs w:val="20"/>
        </w:rPr>
      </w:pPr>
    </w:p>
    <w:p w14:paraId="1267CBFA" w14:textId="33090159" w:rsidR="00487256" w:rsidRPr="00DB2968" w:rsidRDefault="00487256" w:rsidP="0089653F">
      <w:pPr>
        <w:tabs>
          <w:tab w:val="left" w:pos="989"/>
        </w:tabs>
        <w:rPr>
          <w:rFonts w:asciiTheme="minorHAnsi" w:hAnsiTheme="minorHAnsi" w:cstheme="minorHAnsi"/>
          <w:sz w:val="20"/>
          <w:szCs w:val="20"/>
        </w:rPr>
      </w:pPr>
    </w:p>
    <w:p w14:paraId="7B8590C4" w14:textId="4E0F9C73" w:rsidR="00487256" w:rsidRPr="00DB2968" w:rsidRDefault="00487256" w:rsidP="0089653F">
      <w:pPr>
        <w:tabs>
          <w:tab w:val="left" w:pos="989"/>
        </w:tabs>
        <w:rPr>
          <w:rFonts w:asciiTheme="minorHAnsi" w:hAnsiTheme="minorHAnsi" w:cstheme="minorHAnsi"/>
          <w:sz w:val="20"/>
          <w:szCs w:val="20"/>
        </w:rPr>
      </w:pPr>
    </w:p>
    <w:p w14:paraId="47F1BB52" w14:textId="1FAC26F0" w:rsidR="00487256" w:rsidRPr="00DB2968" w:rsidRDefault="00487256" w:rsidP="0089653F">
      <w:pPr>
        <w:tabs>
          <w:tab w:val="left" w:pos="989"/>
        </w:tabs>
        <w:rPr>
          <w:rFonts w:asciiTheme="minorHAnsi" w:hAnsiTheme="minorHAnsi" w:cstheme="minorHAnsi"/>
          <w:sz w:val="20"/>
          <w:szCs w:val="20"/>
        </w:rPr>
      </w:pPr>
    </w:p>
    <w:p w14:paraId="2A5E791D" w14:textId="055922A8" w:rsidR="00487256" w:rsidRPr="00DB2968" w:rsidRDefault="00487256" w:rsidP="0089653F">
      <w:pPr>
        <w:tabs>
          <w:tab w:val="left" w:pos="989"/>
        </w:tabs>
        <w:rPr>
          <w:rFonts w:asciiTheme="minorHAnsi" w:hAnsiTheme="minorHAnsi" w:cstheme="minorHAnsi"/>
          <w:sz w:val="20"/>
          <w:szCs w:val="20"/>
        </w:rPr>
      </w:pPr>
    </w:p>
    <w:p w14:paraId="479347B2" w14:textId="78324822" w:rsidR="00487256" w:rsidRPr="00DB2968" w:rsidRDefault="00487256" w:rsidP="0089653F">
      <w:pPr>
        <w:tabs>
          <w:tab w:val="left" w:pos="989"/>
        </w:tabs>
        <w:rPr>
          <w:rFonts w:asciiTheme="minorHAnsi" w:hAnsiTheme="minorHAnsi" w:cstheme="minorHAnsi"/>
          <w:sz w:val="20"/>
          <w:szCs w:val="20"/>
        </w:rPr>
      </w:pPr>
    </w:p>
    <w:p w14:paraId="3C0643B4" w14:textId="576013E6" w:rsidR="00487256" w:rsidRPr="00DB2968" w:rsidRDefault="00487256" w:rsidP="0089653F">
      <w:pPr>
        <w:tabs>
          <w:tab w:val="left" w:pos="989"/>
        </w:tabs>
        <w:rPr>
          <w:rFonts w:asciiTheme="minorHAnsi" w:hAnsiTheme="minorHAnsi" w:cstheme="minorHAnsi"/>
          <w:sz w:val="20"/>
          <w:szCs w:val="20"/>
        </w:rPr>
      </w:pPr>
    </w:p>
    <w:p w14:paraId="1BE851A6" w14:textId="3A9100C8" w:rsidR="00487256" w:rsidRPr="00DB2968" w:rsidRDefault="00487256" w:rsidP="0089653F">
      <w:pPr>
        <w:tabs>
          <w:tab w:val="left" w:pos="989"/>
        </w:tabs>
        <w:rPr>
          <w:rFonts w:asciiTheme="minorHAnsi" w:hAnsiTheme="minorHAnsi" w:cstheme="minorHAnsi"/>
          <w:sz w:val="20"/>
          <w:szCs w:val="20"/>
        </w:rPr>
      </w:pPr>
    </w:p>
    <w:p w14:paraId="67D7CA53" w14:textId="5C79D1E7" w:rsidR="00487256" w:rsidRPr="00DB2968" w:rsidRDefault="00487256" w:rsidP="0089653F">
      <w:pPr>
        <w:tabs>
          <w:tab w:val="left" w:pos="989"/>
        </w:tabs>
        <w:rPr>
          <w:rFonts w:asciiTheme="minorHAnsi" w:hAnsiTheme="minorHAnsi" w:cstheme="minorHAnsi"/>
          <w:sz w:val="20"/>
          <w:szCs w:val="20"/>
        </w:rPr>
      </w:pPr>
    </w:p>
    <w:p w14:paraId="48767F82" w14:textId="050669FC" w:rsidR="00487256" w:rsidRPr="00DB2968" w:rsidRDefault="00487256" w:rsidP="0089653F">
      <w:pPr>
        <w:tabs>
          <w:tab w:val="left" w:pos="989"/>
        </w:tabs>
        <w:rPr>
          <w:rFonts w:asciiTheme="minorHAnsi" w:hAnsiTheme="minorHAnsi" w:cstheme="minorHAnsi"/>
          <w:sz w:val="20"/>
          <w:szCs w:val="20"/>
        </w:rPr>
      </w:pPr>
    </w:p>
    <w:p w14:paraId="621C8E29" w14:textId="7C869BC6" w:rsidR="00487256" w:rsidRPr="00DB2968" w:rsidRDefault="00487256" w:rsidP="0089653F">
      <w:pPr>
        <w:tabs>
          <w:tab w:val="left" w:pos="989"/>
        </w:tabs>
        <w:rPr>
          <w:rFonts w:asciiTheme="minorHAnsi" w:hAnsiTheme="minorHAnsi" w:cstheme="minorHAnsi"/>
          <w:sz w:val="20"/>
          <w:szCs w:val="20"/>
        </w:rPr>
      </w:pPr>
    </w:p>
    <w:p w14:paraId="5312F5D0" w14:textId="196D0235" w:rsidR="00487256" w:rsidRPr="00DB2968" w:rsidRDefault="00487256" w:rsidP="0089653F">
      <w:pPr>
        <w:tabs>
          <w:tab w:val="left" w:pos="989"/>
        </w:tabs>
        <w:rPr>
          <w:rFonts w:asciiTheme="minorHAnsi" w:hAnsiTheme="minorHAnsi" w:cstheme="minorHAnsi"/>
          <w:sz w:val="20"/>
          <w:szCs w:val="20"/>
        </w:rPr>
      </w:pPr>
    </w:p>
    <w:p w14:paraId="05FA7656" w14:textId="749A74DD" w:rsidR="00487256" w:rsidRPr="00DB2968" w:rsidRDefault="00487256" w:rsidP="0089653F">
      <w:pPr>
        <w:tabs>
          <w:tab w:val="left" w:pos="989"/>
        </w:tabs>
        <w:rPr>
          <w:rFonts w:asciiTheme="minorHAnsi" w:hAnsiTheme="minorHAnsi" w:cstheme="minorHAnsi"/>
          <w:sz w:val="20"/>
          <w:szCs w:val="20"/>
        </w:rPr>
      </w:pPr>
    </w:p>
    <w:p w14:paraId="68803239" w14:textId="6F3B8577" w:rsidR="0081034F" w:rsidRPr="00DB2968" w:rsidRDefault="0081034F" w:rsidP="0081034F">
      <w:pPr>
        <w:widowControl/>
        <w:autoSpaceDE/>
        <w:autoSpaceDN/>
        <w:rPr>
          <w:rFonts w:asciiTheme="minorHAnsi" w:eastAsia="Times New Roman" w:hAnsiTheme="minorHAnsi" w:cstheme="minorHAnsi"/>
          <w:b/>
          <w:bCs/>
          <w:color w:val="000000"/>
          <w:sz w:val="20"/>
          <w:szCs w:val="20"/>
          <w:lang w:bidi="ar-SA"/>
        </w:rPr>
        <w:sectPr w:rsidR="0081034F" w:rsidRPr="00DB2968" w:rsidSect="0089653F">
          <w:pgSz w:w="11910" w:h="16840"/>
          <w:pgMar w:top="1440" w:right="1080" w:bottom="1440" w:left="1080" w:header="0" w:footer="540" w:gutter="0"/>
          <w:cols w:space="720"/>
          <w:docGrid w:linePitch="299"/>
        </w:sectPr>
      </w:pPr>
    </w:p>
    <w:tbl>
      <w:tblPr>
        <w:tblW w:w="0" w:type="auto"/>
        <w:tblLook w:val="04A0" w:firstRow="1" w:lastRow="0" w:firstColumn="1" w:lastColumn="0" w:noHBand="0" w:noVBand="1"/>
      </w:tblPr>
      <w:tblGrid>
        <w:gridCol w:w="2247"/>
        <w:gridCol w:w="1277"/>
        <w:gridCol w:w="1367"/>
        <w:gridCol w:w="2022"/>
        <w:gridCol w:w="1809"/>
        <w:gridCol w:w="2054"/>
        <w:gridCol w:w="1517"/>
        <w:gridCol w:w="1667"/>
      </w:tblGrid>
      <w:tr w:rsidR="00CF27FB" w:rsidRPr="00CF27FB" w14:paraId="5C0A7669" w14:textId="77777777" w:rsidTr="00CF27FB">
        <w:trPr>
          <w:trHeight w:val="300"/>
        </w:trPr>
        <w:tc>
          <w:tcPr>
            <w:tcW w:w="0" w:type="auto"/>
            <w:tcBorders>
              <w:top w:val="nil"/>
              <w:left w:val="nil"/>
              <w:bottom w:val="nil"/>
              <w:right w:val="nil"/>
            </w:tcBorders>
            <w:shd w:val="clear" w:color="auto" w:fill="auto"/>
            <w:noWrap/>
            <w:vAlign w:val="bottom"/>
            <w:hideMark/>
          </w:tcPr>
          <w:p w14:paraId="000BAC50" w14:textId="77777777" w:rsidR="00CF27FB" w:rsidRPr="00CF27FB" w:rsidRDefault="00CF27FB" w:rsidP="00CF27FB">
            <w:pPr>
              <w:widowControl/>
              <w:autoSpaceDE/>
              <w:autoSpaceDN/>
              <w:rPr>
                <w:rFonts w:ascii="Arial" w:eastAsia="Times New Roman" w:hAnsi="Arial" w:cs="Arial"/>
                <w:b/>
                <w:bCs/>
                <w:color w:val="000000"/>
                <w:sz w:val="20"/>
                <w:szCs w:val="20"/>
                <w:lang w:bidi="ar-SA"/>
              </w:rPr>
            </w:pPr>
            <w:r w:rsidRPr="00CF27FB">
              <w:rPr>
                <w:rFonts w:ascii="Arial" w:eastAsia="Times New Roman" w:hAnsi="Arial" w:cs="Arial"/>
                <w:b/>
                <w:bCs/>
                <w:color w:val="000000"/>
                <w:sz w:val="20"/>
                <w:szCs w:val="20"/>
                <w:lang w:bidi="ar-SA"/>
              </w:rPr>
              <w:lastRenderedPageBreak/>
              <w:t>3. Intangible assets</w:t>
            </w:r>
            <w:r w:rsidRPr="00CF27FB">
              <w:rPr>
                <w:rFonts w:ascii="Arial" w:eastAsia="Times New Roman" w:hAnsi="Arial" w:cs="Arial"/>
                <w:color w:val="000000"/>
                <w:sz w:val="16"/>
                <w:szCs w:val="16"/>
                <w:lang w:bidi="ar-SA"/>
              </w:rPr>
              <w:t> </w:t>
            </w:r>
            <w:r w:rsidRPr="00CF27FB">
              <w:rPr>
                <w:rFonts w:eastAsia="Times New Roman"/>
                <w:color w:val="000000"/>
                <w:sz w:val="16"/>
                <w:szCs w:val="16"/>
                <w:lang w:bidi="ar-SA"/>
              </w:rPr>
              <w:t> </w:t>
            </w:r>
          </w:p>
        </w:tc>
        <w:tc>
          <w:tcPr>
            <w:tcW w:w="0" w:type="auto"/>
            <w:tcBorders>
              <w:top w:val="nil"/>
              <w:left w:val="nil"/>
              <w:bottom w:val="nil"/>
              <w:right w:val="nil"/>
            </w:tcBorders>
            <w:shd w:val="clear" w:color="auto" w:fill="auto"/>
            <w:noWrap/>
            <w:vAlign w:val="bottom"/>
            <w:hideMark/>
          </w:tcPr>
          <w:p w14:paraId="5ADE389A" w14:textId="77777777" w:rsidR="00CF27FB" w:rsidRPr="00CF27FB" w:rsidRDefault="00CF27FB" w:rsidP="00CF27FB">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1A2E46FD"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C660D41"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2178367"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B18EBF3"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620818C"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816C182"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r>
      <w:tr w:rsidR="00CF27FB" w:rsidRPr="00CF27FB" w14:paraId="1D7FDC72" w14:textId="77777777" w:rsidTr="00CF27FB">
        <w:trPr>
          <w:trHeight w:val="300"/>
        </w:trPr>
        <w:tc>
          <w:tcPr>
            <w:tcW w:w="0" w:type="auto"/>
            <w:tcBorders>
              <w:top w:val="nil"/>
              <w:left w:val="nil"/>
              <w:bottom w:val="nil"/>
              <w:right w:val="nil"/>
            </w:tcBorders>
            <w:shd w:val="clear" w:color="auto" w:fill="auto"/>
            <w:noWrap/>
            <w:vAlign w:val="center"/>
            <w:hideMark/>
          </w:tcPr>
          <w:p w14:paraId="186D8059"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BE1A6E1"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ACBE9B1"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BD110FA"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E853350"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70E84DD"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30BF56A"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CD2C942"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r>
      <w:tr w:rsidR="00CF27FB" w:rsidRPr="00CF27FB" w14:paraId="35CBBC39" w14:textId="77777777" w:rsidTr="00CF27FB">
        <w:trPr>
          <w:trHeight w:val="720"/>
        </w:trPr>
        <w:tc>
          <w:tcPr>
            <w:tcW w:w="0" w:type="auto"/>
            <w:tcBorders>
              <w:top w:val="nil"/>
              <w:left w:val="nil"/>
              <w:bottom w:val="nil"/>
              <w:right w:val="nil"/>
            </w:tcBorders>
            <w:shd w:val="clear" w:color="auto" w:fill="auto"/>
            <w:noWrap/>
            <w:vAlign w:val="center"/>
            <w:hideMark/>
          </w:tcPr>
          <w:p w14:paraId="4D38B15E" w14:textId="77777777" w:rsidR="00CF27FB" w:rsidRPr="00CF27FB" w:rsidRDefault="00CF27FB" w:rsidP="00CF27FB">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000000" w:fill="FFFFFF"/>
            <w:vAlign w:val="center"/>
            <w:hideMark/>
          </w:tcPr>
          <w:p w14:paraId="12F94695"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Artefacts</w:t>
            </w:r>
          </w:p>
        </w:tc>
        <w:tc>
          <w:tcPr>
            <w:tcW w:w="0" w:type="auto"/>
            <w:tcBorders>
              <w:top w:val="nil"/>
              <w:left w:val="nil"/>
              <w:bottom w:val="nil"/>
              <w:right w:val="nil"/>
            </w:tcBorders>
            <w:shd w:val="clear" w:color="000000" w:fill="FFFFFF"/>
            <w:vAlign w:val="center"/>
            <w:hideMark/>
          </w:tcPr>
          <w:p w14:paraId="00157708"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Trademarks</w:t>
            </w:r>
          </w:p>
        </w:tc>
        <w:tc>
          <w:tcPr>
            <w:tcW w:w="0" w:type="auto"/>
            <w:tcBorders>
              <w:top w:val="nil"/>
              <w:left w:val="nil"/>
              <w:bottom w:val="nil"/>
              <w:right w:val="nil"/>
            </w:tcBorders>
            <w:shd w:val="clear" w:color="000000" w:fill="FFFFFF"/>
            <w:vAlign w:val="center"/>
            <w:hideMark/>
          </w:tcPr>
          <w:p w14:paraId="52842A86"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Gas storage development</w:t>
            </w:r>
          </w:p>
        </w:tc>
        <w:tc>
          <w:tcPr>
            <w:tcW w:w="0" w:type="auto"/>
            <w:tcBorders>
              <w:top w:val="nil"/>
              <w:left w:val="nil"/>
              <w:bottom w:val="nil"/>
              <w:right w:val="nil"/>
            </w:tcBorders>
            <w:shd w:val="clear" w:color="000000" w:fill="FFFFFF"/>
            <w:vAlign w:val="center"/>
            <w:hideMark/>
          </w:tcPr>
          <w:p w14:paraId="33602E80"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Development costs</w:t>
            </w:r>
          </w:p>
        </w:tc>
        <w:tc>
          <w:tcPr>
            <w:tcW w:w="0" w:type="auto"/>
            <w:tcBorders>
              <w:top w:val="nil"/>
              <w:left w:val="nil"/>
              <w:bottom w:val="nil"/>
              <w:right w:val="nil"/>
            </w:tcBorders>
            <w:shd w:val="clear" w:color="000000" w:fill="FFFFFF"/>
            <w:vAlign w:val="center"/>
            <w:hideMark/>
          </w:tcPr>
          <w:p w14:paraId="0BE4A11F"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Business Intellectual Property</w:t>
            </w:r>
          </w:p>
        </w:tc>
        <w:tc>
          <w:tcPr>
            <w:tcW w:w="0" w:type="auto"/>
            <w:tcBorders>
              <w:top w:val="nil"/>
              <w:left w:val="nil"/>
              <w:bottom w:val="nil"/>
              <w:right w:val="nil"/>
            </w:tcBorders>
            <w:shd w:val="clear" w:color="000000" w:fill="FFFFFF"/>
            <w:vAlign w:val="center"/>
            <w:hideMark/>
          </w:tcPr>
          <w:p w14:paraId="5D05D3B7"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Project costs</w:t>
            </w:r>
          </w:p>
        </w:tc>
        <w:tc>
          <w:tcPr>
            <w:tcW w:w="0" w:type="auto"/>
            <w:tcBorders>
              <w:top w:val="nil"/>
              <w:left w:val="nil"/>
              <w:bottom w:val="nil"/>
              <w:right w:val="nil"/>
            </w:tcBorders>
            <w:shd w:val="clear" w:color="000000" w:fill="FFFFFF"/>
            <w:noWrap/>
            <w:vAlign w:val="center"/>
            <w:hideMark/>
          </w:tcPr>
          <w:p w14:paraId="4397E8D3"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Total</w:t>
            </w:r>
          </w:p>
        </w:tc>
      </w:tr>
      <w:tr w:rsidR="00CF27FB" w:rsidRPr="00CF27FB" w14:paraId="249D270F" w14:textId="77777777" w:rsidTr="00CF27FB">
        <w:trPr>
          <w:trHeight w:val="300"/>
        </w:trPr>
        <w:tc>
          <w:tcPr>
            <w:tcW w:w="0" w:type="auto"/>
            <w:tcBorders>
              <w:top w:val="nil"/>
              <w:left w:val="nil"/>
              <w:bottom w:val="nil"/>
              <w:right w:val="nil"/>
            </w:tcBorders>
            <w:shd w:val="clear" w:color="auto" w:fill="auto"/>
            <w:noWrap/>
            <w:vAlign w:val="center"/>
            <w:hideMark/>
          </w:tcPr>
          <w:p w14:paraId="64009AD1"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p>
        </w:tc>
        <w:tc>
          <w:tcPr>
            <w:tcW w:w="0" w:type="auto"/>
            <w:tcBorders>
              <w:top w:val="nil"/>
              <w:left w:val="nil"/>
              <w:bottom w:val="nil"/>
              <w:right w:val="nil"/>
            </w:tcBorders>
            <w:shd w:val="clear" w:color="000000" w:fill="FFFFFF"/>
            <w:noWrap/>
            <w:vAlign w:val="center"/>
            <w:hideMark/>
          </w:tcPr>
          <w:p w14:paraId="0640220A"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65669280"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2B0F3389"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0138CBFD"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7AF66BBE"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A905920"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EB804CD" w14:textId="77777777" w:rsidR="00CF27FB" w:rsidRPr="00CF27FB" w:rsidRDefault="00CF27FB" w:rsidP="00CF27FB">
            <w:pPr>
              <w:widowControl/>
              <w:autoSpaceDE/>
              <w:autoSpaceDN/>
              <w:jc w:val="right"/>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w:t>
            </w:r>
          </w:p>
        </w:tc>
      </w:tr>
      <w:tr w:rsidR="00CF27FB" w:rsidRPr="00CF27FB" w14:paraId="55800570" w14:textId="77777777" w:rsidTr="00CF27FB">
        <w:trPr>
          <w:trHeight w:val="300"/>
        </w:trPr>
        <w:tc>
          <w:tcPr>
            <w:tcW w:w="0" w:type="auto"/>
            <w:tcBorders>
              <w:top w:val="nil"/>
              <w:left w:val="nil"/>
              <w:bottom w:val="nil"/>
              <w:right w:val="nil"/>
            </w:tcBorders>
            <w:shd w:val="clear" w:color="000000" w:fill="FFFFFF"/>
            <w:noWrap/>
            <w:vAlign w:val="center"/>
            <w:hideMark/>
          </w:tcPr>
          <w:p w14:paraId="3BF02438"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Cost</w:t>
            </w:r>
          </w:p>
        </w:tc>
        <w:tc>
          <w:tcPr>
            <w:tcW w:w="0" w:type="auto"/>
            <w:tcBorders>
              <w:top w:val="nil"/>
              <w:left w:val="nil"/>
              <w:bottom w:val="nil"/>
              <w:right w:val="nil"/>
            </w:tcBorders>
            <w:shd w:val="clear" w:color="000000" w:fill="FFFFFF"/>
            <w:noWrap/>
            <w:vAlign w:val="center"/>
            <w:hideMark/>
          </w:tcPr>
          <w:p w14:paraId="06AA53E9"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F61C3C5"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4A04A42"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44DC32F"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645A9A1"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989713C"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8C9EC6D"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r>
      <w:tr w:rsidR="00CF27FB" w:rsidRPr="00CF27FB" w14:paraId="1E1CF355" w14:textId="77777777" w:rsidTr="00CF27FB">
        <w:trPr>
          <w:trHeight w:val="300"/>
        </w:trPr>
        <w:tc>
          <w:tcPr>
            <w:tcW w:w="0" w:type="auto"/>
            <w:tcBorders>
              <w:top w:val="nil"/>
              <w:left w:val="nil"/>
              <w:bottom w:val="nil"/>
              <w:right w:val="nil"/>
            </w:tcBorders>
            <w:shd w:val="clear" w:color="000000" w:fill="FFFFFF"/>
            <w:noWrap/>
            <w:vAlign w:val="center"/>
            <w:hideMark/>
          </w:tcPr>
          <w:p w14:paraId="2B5D6C7C"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1 August 2019</w:t>
            </w:r>
          </w:p>
        </w:tc>
        <w:tc>
          <w:tcPr>
            <w:tcW w:w="0" w:type="auto"/>
            <w:tcBorders>
              <w:top w:val="nil"/>
              <w:left w:val="nil"/>
              <w:bottom w:val="nil"/>
              <w:right w:val="nil"/>
            </w:tcBorders>
            <w:shd w:val="clear" w:color="000000" w:fill="FFFFFF"/>
            <w:noWrap/>
            <w:vAlign w:val="center"/>
            <w:hideMark/>
          </w:tcPr>
          <w:p w14:paraId="3A179FDF"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375D0B2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0781822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10,168,605 </w:t>
            </w:r>
          </w:p>
        </w:tc>
        <w:tc>
          <w:tcPr>
            <w:tcW w:w="0" w:type="auto"/>
            <w:tcBorders>
              <w:top w:val="nil"/>
              <w:left w:val="nil"/>
              <w:bottom w:val="nil"/>
              <w:right w:val="nil"/>
            </w:tcBorders>
            <w:shd w:val="clear" w:color="000000" w:fill="FFFFFF"/>
            <w:noWrap/>
            <w:vAlign w:val="center"/>
            <w:hideMark/>
          </w:tcPr>
          <w:p w14:paraId="0E6BDC3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5AEC7BC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3D5571E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11FFD1B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10,168,605 </w:t>
            </w:r>
          </w:p>
        </w:tc>
      </w:tr>
      <w:tr w:rsidR="00CF27FB" w:rsidRPr="00CF27FB" w14:paraId="0DA2F5B8" w14:textId="77777777" w:rsidTr="00CF27FB">
        <w:trPr>
          <w:trHeight w:val="300"/>
        </w:trPr>
        <w:tc>
          <w:tcPr>
            <w:tcW w:w="0" w:type="auto"/>
            <w:tcBorders>
              <w:top w:val="nil"/>
              <w:left w:val="nil"/>
              <w:bottom w:val="nil"/>
              <w:right w:val="nil"/>
            </w:tcBorders>
            <w:shd w:val="clear" w:color="000000" w:fill="FFFFFF"/>
            <w:noWrap/>
            <w:vAlign w:val="center"/>
            <w:hideMark/>
          </w:tcPr>
          <w:p w14:paraId="57AFD0E7"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Grant accrual during year</w:t>
            </w:r>
          </w:p>
        </w:tc>
        <w:tc>
          <w:tcPr>
            <w:tcW w:w="0" w:type="auto"/>
            <w:tcBorders>
              <w:top w:val="nil"/>
              <w:left w:val="nil"/>
              <w:bottom w:val="nil"/>
              <w:right w:val="nil"/>
            </w:tcBorders>
            <w:shd w:val="clear" w:color="000000" w:fill="FFFFFF"/>
            <w:noWrap/>
            <w:vAlign w:val="center"/>
            <w:hideMark/>
          </w:tcPr>
          <w:p w14:paraId="0EEE23A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0D9BF0A"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auto" w:fill="auto"/>
            <w:noWrap/>
            <w:vAlign w:val="center"/>
            <w:hideMark/>
          </w:tcPr>
          <w:p w14:paraId="1C82BD8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(1,130,149)</w:t>
            </w:r>
          </w:p>
        </w:tc>
        <w:tc>
          <w:tcPr>
            <w:tcW w:w="0" w:type="auto"/>
            <w:tcBorders>
              <w:top w:val="nil"/>
              <w:left w:val="nil"/>
              <w:bottom w:val="nil"/>
              <w:right w:val="nil"/>
            </w:tcBorders>
            <w:shd w:val="clear" w:color="auto" w:fill="auto"/>
            <w:noWrap/>
            <w:vAlign w:val="center"/>
            <w:hideMark/>
          </w:tcPr>
          <w:p w14:paraId="5EAD7DD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p>
        </w:tc>
        <w:tc>
          <w:tcPr>
            <w:tcW w:w="0" w:type="auto"/>
            <w:tcBorders>
              <w:top w:val="nil"/>
              <w:left w:val="nil"/>
              <w:bottom w:val="nil"/>
              <w:right w:val="nil"/>
            </w:tcBorders>
            <w:shd w:val="clear" w:color="auto" w:fill="auto"/>
            <w:noWrap/>
            <w:vAlign w:val="center"/>
            <w:hideMark/>
          </w:tcPr>
          <w:p w14:paraId="40C0A759" w14:textId="77777777" w:rsidR="00CF27FB" w:rsidRPr="00CF27FB" w:rsidRDefault="00CF27FB" w:rsidP="00CF27FB">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39E0D4CE" w14:textId="77777777" w:rsidR="00CF27FB" w:rsidRPr="00CF27FB" w:rsidRDefault="00CF27FB" w:rsidP="00CF27FB">
            <w:pPr>
              <w:widowControl/>
              <w:autoSpaceDE/>
              <w:autoSpaceDN/>
              <w:jc w:val="right"/>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0150A3A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(1,130,149)</w:t>
            </w:r>
          </w:p>
        </w:tc>
      </w:tr>
      <w:tr w:rsidR="00CF27FB" w:rsidRPr="00CF27FB" w14:paraId="1AEE945D" w14:textId="77777777" w:rsidTr="00CF27FB">
        <w:trPr>
          <w:trHeight w:val="300"/>
        </w:trPr>
        <w:tc>
          <w:tcPr>
            <w:tcW w:w="0" w:type="auto"/>
            <w:tcBorders>
              <w:top w:val="nil"/>
              <w:left w:val="nil"/>
              <w:bottom w:val="nil"/>
              <w:right w:val="nil"/>
            </w:tcBorders>
            <w:shd w:val="clear" w:color="000000" w:fill="FFFFFF"/>
            <w:noWrap/>
            <w:vAlign w:val="center"/>
            <w:hideMark/>
          </w:tcPr>
          <w:p w14:paraId="3FB9423A"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Additions</w:t>
            </w:r>
          </w:p>
        </w:tc>
        <w:tc>
          <w:tcPr>
            <w:tcW w:w="0" w:type="auto"/>
            <w:tcBorders>
              <w:top w:val="nil"/>
              <w:left w:val="nil"/>
              <w:bottom w:val="nil"/>
              <w:right w:val="nil"/>
            </w:tcBorders>
            <w:shd w:val="clear" w:color="000000" w:fill="FFFFFF"/>
            <w:noWrap/>
            <w:vAlign w:val="center"/>
            <w:hideMark/>
          </w:tcPr>
          <w:p w14:paraId="412E7AC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200,000 </w:t>
            </w:r>
          </w:p>
        </w:tc>
        <w:tc>
          <w:tcPr>
            <w:tcW w:w="0" w:type="auto"/>
            <w:tcBorders>
              <w:top w:val="nil"/>
              <w:left w:val="nil"/>
              <w:bottom w:val="nil"/>
              <w:right w:val="nil"/>
            </w:tcBorders>
            <w:shd w:val="clear" w:color="000000" w:fill="FFFFFF"/>
            <w:noWrap/>
            <w:vAlign w:val="center"/>
            <w:hideMark/>
          </w:tcPr>
          <w:p w14:paraId="2F2831C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170,000 </w:t>
            </w:r>
          </w:p>
        </w:tc>
        <w:tc>
          <w:tcPr>
            <w:tcW w:w="0" w:type="auto"/>
            <w:tcBorders>
              <w:top w:val="nil"/>
              <w:left w:val="nil"/>
              <w:bottom w:val="nil"/>
              <w:right w:val="nil"/>
            </w:tcBorders>
            <w:shd w:val="clear" w:color="000000" w:fill="FFFFFF"/>
            <w:noWrap/>
            <w:vAlign w:val="center"/>
            <w:hideMark/>
          </w:tcPr>
          <w:p w14:paraId="340B70B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583,311 </w:t>
            </w:r>
          </w:p>
        </w:tc>
        <w:tc>
          <w:tcPr>
            <w:tcW w:w="0" w:type="auto"/>
            <w:tcBorders>
              <w:top w:val="nil"/>
              <w:left w:val="nil"/>
              <w:bottom w:val="nil"/>
              <w:right w:val="nil"/>
            </w:tcBorders>
            <w:shd w:val="clear" w:color="000000" w:fill="FFFFFF"/>
            <w:noWrap/>
            <w:vAlign w:val="center"/>
            <w:hideMark/>
          </w:tcPr>
          <w:p w14:paraId="35EF33B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55,000 </w:t>
            </w:r>
          </w:p>
        </w:tc>
        <w:tc>
          <w:tcPr>
            <w:tcW w:w="0" w:type="auto"/>
            <w:tcBorders>
              <w:top w:val="nil"/>
              <w:left w:val="nil"/>
              <w:bottom w:val="nil"/>
              <w:right w:val="nil"/>
            </w:tcBorders>
            <w:shd w:val="clear" w:color="000000" w:fill="FFFFFF"/>
            <w:noWrap/>
            <w:vAlign w:val="center"/>
            <w:hideMark/>
          </w:tcPr>
          <w:p w14:paraId="34A0695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08F5473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21,732 </w:t>
            </w:r>
          </w:p>
        </w:tc>
        <w:tc>
          <w:tcPr>
            <w:tcW w:w="0" w:type="auto"/>
            <w:tcBorders>
              <w:top w:val="nil"/>
              <w:left w:val="nil"/>
              <w:bottom w:val="nil"/>
              <w:right w:val="nil"/>
            </w:tcBorders>
            <w:shd w:val="clear" w:color="000000" w:fill="FFFFFF"/>
            <w:noWrap/>
            <w:vAlign w:val="center"/>
            <w:hideMark/>
          </w:tcPr>
          <w:p w14:paraId="44B97C9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1,030,043 </w:t>
            </w:r>
          </w:p>
        </w:tc>
      </w:tr>
      <w:tr w:rsidR="00CF27FB" w:rsidRPr="00CF27FB" w14:paraId="6C4B4C89" w14:textId="77777777" w:rsidTr="00CF27FB">
        <w:trPr>
          <w:trHeight w:val="300"/>
        </w:trPr>
        <w:tc>
          <w:tcPr>
            <w:tcW w:w="0" w:type="auto"/>
            <w:tcBorders>
              <w:top w:val="nil"/>
              <w:left w:val="nil"/>
              <w:bottom w:val="nil"/>
              <w:right w:val="nil"/>
            </w:tcBorders>
            <w:shd w:val="clear" w:color="000000" w:fill="FFFFFF"/>
            <w:noWrap/>
            <w:vAlign w:val="center"/>
            <w:hideMark/>
          </w:tcPr>
          <w:p w14:paraId="4DBE7AE4"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Revaluations</w:t>
            </w:r>
          </w:p>
        </w:tc>
        <w:tc>
          <w:tcPr>
            <w:tcW w:w="0" w:type="auto"/>
            <w:tcBorders>
              <w:top w:val="nil"/>
              <w:left w:val="nil"/>
              <w:bottom w:val="nil"/>
              <w:right w:val="nil"/>
            </w:tcBorders>
            <w:shd w:val="clear" w:color="000000" w:fill="FFFFFF"/>
            <w:noWrap/>
            <w:vAlign w:val="center"/>
            <w:hideMark/>
          </w:tcPr>
          <w:p w14:paraId="1F7D652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447,394 </w:t>
            </w:r>
          </w:p>
        </w:tc>
        <w:tc>
          <w:tcPr>
            <w:tcW w:w="0" w:type="auto"/>
            <w:tcBorders>
              <w:top w:val="nil"/>
              <w:left w:val="nil"/>
              <w:bottom w:val="nil"/>
              <w:right w:val="nil"/>
            </w:tcBorders>
            <w:shd w:val="clear" w:color="000000" w:fill="FFFFFF"/>
            <w:noWrap/>
            <w:vAlign w:val="center"/>
            <w:hideMark/>
          </w:tcPr>
          <w:p w14:paraId="289D76D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693,193 </w:t>
            </w:r>
          </w:p>
        </w:tc>
        <w:tc>
          <w:tcPr>
            <w:tcW w:w="0" w:type="auto"/>
            <w:tcBorders>
              <w:top w:val="nil"/>
              <w:left w:val="nil"/>
              <w:bottom w:val="nil"/>
              <w:right w:val="nil"/>
            </w:tcBorders>
            <w:shd w:val="clear" w:color="000000" w:fill="FFFFFF"/>
            <w:noWrap/>
            <w:vAlign w:val="center"/>
            <w:hideMark/>
          </w:tcPr>
          <w:p w14:paraId="3BE4AD0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4ECEFC1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5A93B8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85D364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AF74CD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1,140,587 </w:t>
            </w:r>
          </w:p>
        </w:tc>
      </w:tr>
      <w:tr w:rsidR="00CF27FB" w:rsidRPr="00CF27FB" w14:paraId="4D3AB365" w14:textId="77777777" w:rsidTr="00CF27FB">
        <w:trPr>
          <w:trHeight w:val="300"/>
        </w:trPr>
        <w:tc>
          <w:tcPr>
            <w:tcW w:w="0" w:type="auto"/>
            <w:tcBorders>
              <w:top w:val="nil"/>
              <w:left w:val="nil"/>
              <w:bottom w:val="nil"/>
              <w:right w:val="nil"/>
            </w:tcBorders>
            <w:shd w:val="clear" w:color="000000" w:fill="FFFFFF"/>
            <w:noWrap/>
            <w:vAlign w:val="center"/>
            <w:hideMark/>
          </w:tcPr>
          <w:p w14:paraId="1FC416B6"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Amortisation charge</w:t>
            </w:r>
          </w:p>
        </w:tc>
        <w:tc>
          <w:tcPr>
            <w:tcW w:w="0" w:type="auto"/>
            <w:tcBorders>
              <w:top w:val="nil"/>
              <w:left w:val="nil"/>
              <w:bottom w:val="nil"/>
              <w:right w:val="nil"/>
            </w:tcBorders>
            <w:shd w:val="clear" w:color="000000" w:fill="FFFFFF"/>
            <w:noWrap/>
            <w:vAlign w:val="center"/>
            <w:hideMark/>
          </w:tcPr>
          <w:p w14:paraId="40A8102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0A81297A"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1820D75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3EF2941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B278AD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3705860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9F3E8E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r>
      <w:tr w:rsidR="00CF27FB" w:rsidRPr="00CF27FB" w14:paraId="69D45BF5" w14:textId="77777777" w:rsidTr="00CF27FB">
        <w:trPr>
          <w:trHeight w:val="315"/>
        </w:trPr>
        <w:tc>
          <w:tcPr>
            <w:tcW w:w="0" w:type="auto"/>
            <w:tcBorders>
              <w:top w:val="nil"/>
              <w:left w:val="nil"/>
              <w:bottom w:val="nil"/>
              <w:right w:val="nil"/>
            </w:tcBorders>
            <w:shd w:val="clear" w:color="000000" w:fill="FFFFFF"/>
            <w:noWrap/>
            <w:vAlign w:val="center"/>
            <w:hideMark/>
          </w:tcPr>
          <w:p w14:paraId="6000FC7C"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20E3163D"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42D8D8EF"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14071A3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6F84D40A"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55C788B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62D4520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065AF0C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w:t>
            </w:r>
          </w:p>
        </w:tc>
      </w:tr>
      <w:tr w:rsidR="00CF27FB" w:rsidRPr="00CF27FB" w14:paraId="439C7BB2" w14:textId="77777777" w:rsidTr="00CF27FB">
        <w:trPr>
          <w:trHeight w:val="315"/>
        </w:trPr>
        <w:tc>
          <w:tcPr>
            <w:tcW w:w="0" w:type="auto"/>
            <w:tcBorders>
              <w:top w:val="nil"/>
              <w:left w:val="nil"/>
              <w:bottom w:val="nil"/>
              <w:right w:val="nil"/>
            </w:tcBorders>
            <w:shd w:val="clear" w:color="000000" w:fill="FFFFFF"/>
            <w:noWrap/>
            <w:vAlign w:val="center"/>
            <w:hideMark/>
          </w:tcPr>
          <w:p w14:paraId="12D8B966"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2020</w:t>
            </w:r>
          </w:p>
        </w:tc>
        <w:tc>
          <w:tcPr>
            <w:tcW w:w="0" w:type="auto"/>
            <w:tcBorders>
              <w:top w:val="nil"/>
              <w:left w:val="nil"/>
              <w:bottom w:val="single" w:sz="8" w:space="0" w:color="auto"/>
              <w:right w:val="nil"/>
            </w:tcBorders>
            <w:shd w:val="clear" w:color="000000" w:fill="FFFFFF"/>
            <w:noWrap/>
            <w:vAlign w:val="center"/>
            <w:hideMark/>
          </w:tcPr>
          <w:p w14:paraId="1F4D270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647,394 </w:t>
            </w:r>
          </w:p>
        </w:tc>
        <w:tc>
          <w:tcPr>
            <w:tcW w:w="0" w:type="auto"/>
            <w:tcBorders>
              <w:top w:val="nil"/>
              <w:left w:val="nil"/>
              <w:bottom w:val="single" w:sz="8" w:space="0" w:color="auto"/>
              <w:right w:val="nil"/>
            </w:tcBorders>
            <w:shd w:val="clear" w:color="000000" w:fill="FFFFFF"/>
            <w:noWrap/>
            <w:vAlign w:val="center"/>
            <w:hideMark/>
          </w:tcPr>
          <w:p w14:paraId="6DDF922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863,193 </w:t>
            </w:r>
          </w:p>
        </w:tc>
        <w:tc>
          <w:tcPr>
            <w:tcW w:w="0" w:type="auto"/>
            <w:tcBorders>
              <w:top w:val="nil"/>
              <w:left w:val="nil"/>
              <w:bottom w:val="single" w:sz="8" w:space="0" w:color="auto"/>
              <w:right w:val="nil"/>
            </w:tcBorders>
            <w:shd w:val="clear" w:color="000000" w:fill="FFFFFF"/>
            <w:noWrap/>
            <w:vAlign w:val="center"/>
            <w:hideMark/>
          </w:tcPr>
          <w:p w14:paraId="34F7EFF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9,621,767 </w:t>
            </w:r>
          </w:p>
        </w:tc>
        <w:tc>
          <w:tcPr>
            <w:tcW w:w="0" w:type="auto"/>
            <w:tcBorders>
              <w:top w:val="nil"/>
              <w:left w:val="nil"/>
              <w:bottom w:val="single" w:sz="8" w:space="0" w:color="auto"/>
              <w:right w:val="nil"/>
            </w:tcBorders>
            <w:shd w:val="clear" w:color="000000" w:fill="FFFFFF"/>
            <w:noWrap/>
            <w:vAlign w:val="center"/>
            <w:hideMark/>
          </w:tcPr>
          <w:p w14:paraId="26BD96F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55,000 </w:t>
            </w:r>
          </w:p>
        </w:tc>
        <w:tc>
          <w:tcPr>
            <w:tcW w:w="0" w:type="auto"/>
            <w:tcBorders>
              <w:top w:val="nil"/>
              <w:left w:val="nil"/>
              <w:bottom w:val="single" w:sz="8" w:space="0" w:color="auto"/>
              <w:right w:val="nil"/>
            </w:tcBorders>
            <w:shd w:val="clear" w:color="000000" w:fill="FFFFFF"/>
            <w:noWrap/>
            <w:vAlign w:val="center"/>
            <w:hideMark/>
          </w:tcPr>
          <w:p w14:paraId="52548EF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0FC82E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21,732 </w:t>
            </w:r>
          </w:p>
        </w:tc>
        <w:tc>
          <w:tcPr>
            <w:tcW w:w="0" w:type="auto"/>
            <w:tcBorders>
              <w:top w:val="nil"/>
              <w:left w:val="nil"/>
              <w:bottom w:val="single" w:sz="8" w:space="0" w:color="auto"/>
              <w:right w:val="nil"/>
            </w:tcBorders>
            <w:shd w:val="clear" w:color="000000" w:fill="FFFFFF"/>
            <w:noWrap/>
            <w:vAlign w:val="center"/>
            <w:hideMark/>
          </w:tcPr>
          <w:p w14:paraId="4236991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11,209,086 </w:t>
            </w:r>
          </w:p>
        </w:tc>
      </w:tr>
      <w:tr w:rsidR="00CF27FB" w:rsidRPr="00CF27FB" w14:paraId="4EA0CDC1" w14:textId="77777777" w:rsidTr="00CF27FB">
        <w:trPr>
          <w:trHeight w:val="300"/>
        </w:trPr>
        <w:tc>
          <w:tcPr>
            <w:tcW w:w="0" w:type="auto"/>
            <w:tcBorders>
              <w:top w:val="nil"/>
              <w:left w:val="nil"/>
              <w:bottom w:val="nil"/>
              <w:right w:val="nil"/>
            </w:tcBorders>
            <w:shd w:val="clear" w:color="000000" w:fill="FFFFFF"/>
            <w:noWrap/>
            <w:vAlign w:val="center"/>
            <w:hideMark/>
          </w:tcPr>
          <w:p w14:paraId="6542422A"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1 August 2020</w:t>
            </w:r>
          </w:p>
        </w:tc>
        <w:tc>
          <w:tcPr>
            <w:tcW w:w="0" w:type="auto"/>
            <w:tcBorders>
              <w:top w:val="nil"/>
              <w:left w:val="nil"/>
              <w:bottom w:val="nil"/>
              <w:right w:val="nil"/>
            </w:tcBorders>
            <w:shd w:val="clear" w:color="000000" w:fill="FFFFFF"/>
            <w:noWrap/>
            <w:vAlign w:val="center"/>
            <w:hideMark/>
          </w:tcPr>
          <w:p w14:paraId="39F131A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647,394 </w:t>
            </w:r>
          </w:p>
        </w:tc>
        <w:tc>
          <w:tcPr>
            <w:tcW w:w="0" w:type="auto"/>
            <w:tcBorders>
              <w:top w:val="nil"/>
              <w:left w:val="nil"/>
              <w:bottom w:val="nil"/>
              <w:right w:val="nil"/>
            </w:tcBorders>
            <w:shd w:val="clear" w:color="000000" w:fill="FFFFFF"/>
            <w:noWrap/>
            <w:vAlign w:val="center"/>
            <w:hideMark/>
          </w:tcPr>
          <w:p w14:paraId="750BB3A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863,193 </w:t>
            </w:r>
          </w:p>
        </w:tc>
        <w:tc>
          <w:tcPr>
            <w:tcW w:w="0" w:type="auto"/>
            <w:tcBorders>
              <w:top w:val="nil"/>
              <w:left w:val="nil"/>
              <w:bottom w:val="nil"/>
              <w:right w:val="nil"/>
            </w:tcBorders>
            <w:shd w:val="clear" w:color="000000" w:fill="FFFFFF"/>
            <w:noWrap/>
            <w:vAlign w:val="center"/>
            <w:hideMark/>
          </w:tcPr>
          <w:p w14:paraId="5CF9016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9,621,767 </w:t>
            </w:r>
          </w:p>
        </w:tc>
        <w:tc>
          <w:tcPr>
            <w:tcW w:w="0" w:type="auto"/>
            <w:tcBorders>
              <w:top w:val="nil"/>
              <w:left w:val="nil"/>
              <w:bottom w:val="nil"/>
              <w:right w:val="nil"/>
            </w:tcBorders>
            <w:shd w:val="clear" w:color="000000" w:fill="FFFFFF"/>
            <w:noWrap/>
            <w:vAlign w:val="center"/>
            <w:hideMark/>
          </w:tcPr>
          <w:p w14:paraId="57B7117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55,000 </w:t>
            </w:r>
          </w:p>
        </w:tc>
        <w:tc>
          <w:tcPr>
            <w:tcW w:w="0" w:type="auto"/>
            <w:tcBorders>
              <w:top w:val="nil"/>
              <w:left w:val="nil"/>
              <w:bottom w:val="nil"/>
              <w:right w:val="nil"/>
            </w:tcBorders>
            <w:shd w:val="clear" w:color="000000" w:fill="FFFFFF"/>
            <w:noWrap/>
            <w:vAlign w:val="center"/>
            <w:hideMark/>
          </w:tcPr>
          <w:p w14:paraId="2525447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1C155D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21,732 </w:t>
            </w:r>
          </w:p>
        </w:tc>
        <w:tc>
          <w:tcPr>
            <w:tcW w:w="0" w:type="auto"/>
            <w:tcBorders>
              <w:top w:val="nil"/>
              <w:left w:val="nil"/>
              <w:bottom w:val="nil"/>
              <w:right w:val="nil"/>
            </w:tcBorders>
            <w:shd w:val="clear" w:color="000000" w:fill="FFFFFF"/>
            <w:noWrap/>
            <w:vAlign w:val="center"/>
            <w:hideMark/>
          </w:tcPr>
          <w:p w14:paraId="1106D83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11,209,086 </w:t>
            </w:r>
          </w:p>
        </w:tc>
      </w:tr>
      <w:tr w:rsidR="00CF27FB" w:rsidRPr="00CF27FB" w14:paraId="043346A6" w14:textId="77777777" w:rsidTr="00CF27FB">
        <w:trPr>
          <w:trHeight w:val="300"/>
        </w:trPr>
        <w:tc>
          <w:tcPr>
            <w:tcW w:w="0" w:type="auto"/>
            <w:tcBorders>
              <w:top w:val="nil"/>
              <w:left w:val="nil"/>
              <w:bottom w:val="nil"/>
              <w:right w:val="nil"/>
            </w:tcBorders>
            <w:shd w:val="clear" w:color="000000" w:fill="FFFFFF"/>
            <w:noWrap/>
            <w:vAlign w:val="center"/>
            <w:hideMark/>
          </w:tcPr>
          <w:p w14:paraId="0A024BEB"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Revaluations</w:t>
            </w:r>
          </w:p>
        </w:tc>
        <w:tc>
          <w:tcPr>
            <w:tcW w:w="0" w:type="auto"/>
            <w:tcBorders>
              <w:top w:val="nil"/>
              <w:left w:val="nil"/>
              <w:bottom w:val="nil"/>
              <w:right w:val="nil"/>
            </w:tcBorders>
            <w:shd w:val="clear" w:color="000000" w:fill="FFFFFF"/>
            <w:noWrap/>
            <w:vAlign w:val="center"/>
            <w:hideMark/>
          </w:tcPr>
          <w:p w14:paraId="152731F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1BB3AD8A"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5715497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66AF6AB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29EA3B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4AFB48C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5247F4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r>
      <w:tr w:rsidR="00CF27FB" w:rsidRPr="00CF27FB" w14:paraId="1AFFACD0" w14:textId="77777777" w:rsidTr="00CF27FB">
        <w:trPr>
          <w:trHeight w:val="315"/>
        </w:trPr>
        <w:tc>
          <w:tcPr>
            <w:tcW w:w="0" w:type="auto"/>
            <w:tcBorders>
              <w:top w:val="nil"/>
              <w:left w:val="nil"/>
              <w:bottom w:val="nil"/>
              <w:right w:val="nil"/>
            </w:tcBorders>
            <w:shd w:val="clear" w:color="000000" w:fill="FFFFFF"/>
            <w:noWrap/>
            <w:vAlign w:val="center"/>
            <w:hideMark/>
          </w:tcPr>
          <w:p w14:paraId="3E29F3D8"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Additions</w:t>
            </w:r>
          </w:p>
        </w:tc>
        <w:tc>
          <w:tcPr>
            <w:tcW w:w="0" w:type="auto"/>
            <w:tcBorders>
              <w:top w:val="nil"/>
              <w:left w:val="nil"/>
              <w:bottom w:val="single" w:sz="8" w:space="0" w:color="auto"/>
              <w:right w:val="nil"/>
            </w:tcBorders>
            <w:shd w:val="clear" w:color="000000" w:fill="FFFFFF"/>
            <w:noWrap/>
            <w:vAlign w:val="center"/>
            <w:hideMark/>
          </w:tcPr>
          <w:p w14:paraId="6A7C7F6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452FAB3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50C93EC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376,161 </w:t>
            </w:r>
          </w:p>
        </w:tc>
        <w:tc>
          <w:tcPr>
            <w:tcW w:w="0" w:type="auto"/>
            <w:tcBorders>
              <w:top w:val="nil"/>
              <w:left w:val="nil"/>
              <w:bottom w:val="single" w:sz="8" w:space="0" w:color="auto"/>
              <w:right w:val="nil"/>
            </w:tcBorders>
            <w:shd w:val="clear" w:color="000000" w:fill="FFFFFF"/>
            <w:noWrap/>
            <w:vAlign w:val="center"/>
            <w:hideMark/>
          </w:tcPr>
          <w:p w14:paraId="537AC058"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2731DE9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150,000 </w:t>
            </w:r>
          </w:p>
        </w:tc>
        <w:tc>
          <w:tcPr>
            <w:tcW w:w="0" w:type="auto"/>
            <w:tcBorders>
              <w:top w:val="nil"/>
              <w:left w:val="nil"/>
              <w:bottom w:val="single" w:sz="8" w:space="0" w:color="auto"/>
              <w:right w:val="nil"/>
            </w:tcBorders>
            <w:shd w:val="clear" w:color="000000" w:fill="FFFFFF"/>
            <w:noWrap/>
            <w:vAlign w:val="center"/>
            <w:hideMark/>
          </w:tcPr>
          <w:p w14:paraId="3F34180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99,835 </w:t>
            </w:r>
          </w:p>
        </w:tc>
        <w:tc>
          <w:tcPr>
            <w:tcW w:w="0" w:type="auto"/>
            <w:tcBorders>
              <w:top w:val="nil"/>
              <w:left w:val="nil"/>
              <w:bottom w:val="single" w:sz="8" w:space="0" w:color="auto"/>
              <w:right w:val="nil"/>
            </w:tcBorders>
            <w:shd w:val="clear" w:color="000000" w:fill="FFFFFF"/>
            <w:noWrap/>
            <w:vAlign w:val="center"/>
            <w:hideMark/>
          </w:tcPr>
          <w:p w14:paraId="4C8B671D"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625,996 </w:t>
            </w:r>
          </w:p>
        </w:tc>
      </w:tr>
      <w:tr w:rsidR="00CF27FB" w:rsidRPr="00CF27FB" w14:paraId="2EFE8DDB" w14:textId="77777777" w:rsidTr="00CF27FB">
        <w:trPr>
          <w:trHeight w:val="315"/>
        </w:trPr>
        <w:tc>
          <w:tcPr>
            <w:tcW w:w="0" w:type="auto"/>
            <w:tcBorders>
              <w:top w:val="nil"/>
              <w:left w:val="nil"/>
              <w:bottom w:val="nil"/>
              <w:right w:val="nil"/>
            </w:tcBorders>
            <w:shd w:val="clear" w:color="000000" w:fill="FFFFFF"/>
            <w:noWrap/>
            <w:vAlign w:val="center"/>
            <w:hideMark/>
          </w:tcPr>
          <w:p w14:paraId="5D9562E7"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2021</w:t>
            </w:r>
          </w:p>
        </w:tc>
        <w:tc>
          <w:tcPr>
            <w:tcW w:w="0" w:type="auto"/>
            <w:tcBorders>
              <w:top w:val="nil"/>
              <w:left w:val="nil"/>
              <w:bottom w:val="single" w:sz="8" w:space="0" w:color="auto"/>
              <w:right w:val="nil"/>
            </w:tcBorders>
            <w:shd w:val="clear" w:color="000000" w:fill="FFFFFF"/>
            <w:noWrap/>
            <w:vAlign w:val="center"/>
            <w:hideMark/>
          </w:tcPr>
          <w:p w14:paraId="470032BA"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647,394 </w:t>
            </w:r>
          </w:p>
        </w:tc>
        <w:tc>
          <w:tcPr>
            <w:tcW w:w="0" w:type="auto"/>
            <w:tcBorders>
              <w:top w:val="nil"/>
              <w:left w:val="nil"/>
              <w:bottom w:val="single" w:sz="8" w:space="0" w:color="auto"/>
              <w:right w:val="nil"/>
            </w:tcBorders>
            <w:shd w:val="clear" w:color="000000" w:fill="FFFFFF"/>
            <w:noWrap/>
            <w:vAlign w:val="center"/>
            <w:hideMark/>
          </w:tcPr>
          <w:p w14:paraId="6DA6D83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863,193 </w:t>
            </w:r>
          </w:p>
        </w:tc>
        <w:tc>
          <w:tcPr>
            <w:tcW w:w="0" w:type="auto"/>
            <w:tcBorders>
              <w:top w:val="nil"/>
              <w:left w:val="nil"/>
              <w:bottom w:val="single" w:sz="8" w:space="0" w:color="auto"/>
              <w:right w:val="nil"/>
            </w:tcBorders>
            <w:shd w:val="clear" w:color="000000" w:fill="FFFFFF"/>
            <w:noWrap/>
            <w:vAlign w:val="center"/>
            <w:hideMark/>
          </w:tcPr>
          <w:p w14:paraId="34C2B81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9,997,928 </w:t>
            </w:r>
          </w:p>
        </w:tc>
        <w:tc>
          <w:tcPr>
            <w:tcW w:w="0" w:type="auto"/>
            <w:tcBorders>
              <w:top w:val="nil"/>
              <w:left w:val="nil"/>
              <w:bottom w:val="single" w:sz="8" w:space="0" w:color="auto"/>
              <w:right w:val="nil"/>
            </w:tcBorders>
            <w:shd w:val="clear" w:color="000000" w:fill="FFFFFF"/>
            <w:noWrap/>
            <w:vAlign w:val="center"/>
            <w:hideMark/>
          </w:tcPr>
          <w:p w14:paraId="2D1CFDAF"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55,000 </w:t>
            </w:r>
          </w:p>
        </w:tc>
        <w:tc>
          <w:tcPr>
            <w:tcW w:w="0" w:type="auto"/>
            <w:tcBorders>
              <w:top w:val="nil"/>
              <w:left w:val="nil"/>
              <w:bottom w:val="single" w:sz="8" w:space="0" w:color="auto"/>
              <w:right w:val="nil"/>
            </w:tcBorders>
            <w:shd w:val="clear" w:color="000000" w:fill="FFFFFF"/>
            <w:noWrap/>
            <w:vAlign w:val="center"/>
            <w:hideMark/>
          </w:tcPr>
          <w:p w14:paraId="4C3CE64F"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150,000 </w:t>
            </w:r>
          </w:p>
        </w:tc>
        <w:tc>
          <w:tcPr>
            <w:tcW w:w="0" w:type="auto"/>
            <w:tcBorders>
              <w:top w:val="nil"/>
              <w:left w:val="nil"/>
              <w:bottom w:val="single" w:sz="8" w:space="0" w:color="auto"/>
              <w:right w:val="nil"/>
            </w:tcBorders>
            <w:shd w:val="clear" w:color="000000" w:fill="FFFFFF"/>
            <w:noWrap/>
            <w:vAlign w:val="center"/>
            <w:hideMark/>
          </w:tcPr>
          <w:p w14:paraId="575C465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121,567 </w:t>
            </w:r>
          </w:p>
        </w:tc>
        <w:tc>
          <w:tcPr>
            <w:tcW w:w="0" w:type="auto"/>
            <w:tcBorders>
              <w:top w:val="nil"/>
              <w:left w:val="nil"/>
              <w:bottom w:val="single" w:sz="8" w:space="0" w:color="auto"/>
              <w:right w:val="nil"/>
            </w:tcBorders>
            <w:shd w:val="clear" w:color="000000" w:fill="FFFFFF"/>
            <w:noWrap/>
            <w:vAlign w:val="center"/>
            <w:hideMark/>
          </w:tcPr>
          <w:p w14:paraId="0A02F85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11,835,082 </w:t>
            </w:r>
          </w:p>
        </w:tc>
      </w:tr>
      <w:tr w:rsidR="00CF27FB" w:rsidRPr="00CF27FB" w14:paraId="6ED8F32F" w14:textId="77777777" w:rsidTr="00CF27FB">
        <w:trPr>
          <w:trHeight w:val="315"/>
        </w:trPr>
        <w:tc>
          <w:tcPr>
            <w:tcW w:w="0" w:type="auto"/>
            <w:tcBorders>
              <w:top w:val="nil"/>
              <w:left w:val="nil"/>
              <w:bottom w:val="nil"/>
              <w:right w:val="nil"/>
            </w:tcBorders>
            <w:shd w:val="clear" w:color="000000" w:fill="FFFFFF"/>
            <w:noWrap/>
            <w:vAlign w:val="center"/>
            <w:hideMark/>
          </w:tcPr>
          <w:p w14:paraId="7694D961"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2020</w:t>
            </w:r>
          </w:p>
        </w:tc>
        <w:tc>
          <w:tcPr>
            <w:tcW w:w="0" w:type="auto"/>
            <w:tcBorders>
              <w:top w:val="nil"/>
              <w:left w:val="nil"/>
              <w:bottom w:val="single" w:sz="8" w:space="0" w:color="auto"/>
              <w:right w:val="nil"/>
            </w:tcBorders>
            <w:shd w:val="clear" w:color="000000" w:fill="FFFFFF"/>
            <w:noWrap/>
            <w:vAlign w:val="center"/>
            <w:hideMark/>
          </w:tcPr>
          <w:p w14:paraId="476461BD"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7106611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CC833A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47728EC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2,255 </w:t>
            </w:r>
          </w:p>
        </w:tc>
        <w:tc>
          <w:tcPr>
            <w:tcW w:w="0" w:type="auto"/>
            <w:tcBorders>
              <w:top w:val="nil"/>
              <w:left w:val="nil"/>
              <w:bottom w:val="single" w:sz="8" w:space="0" w:color="auto"/>
              <w:right w:val="nil"/>
            </w:tcBorders>
            <w:shd w:val="clear" w:color="000000" w:fill="FFFFFF"/>
            <w:noWrap/>
            <w:vAlign w:val="center"/>
            <w:hideMark/>
          </w:tcPr>
          <w:p w14:paraId="10DBF42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61318AA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44A0FB6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2,255 </w:t>
            </w:r>
          </w:p>
        </w:tc>
      </w:tr>
      <w:tr w:rsidR="00CF27FB" w:rsidRPr="00CF27FB" w14:paraId="3B99542E" w14:textId="77777777" w:rsidTr="00CF27FB">
        <w:trPr>
          <w:trHeight w:val="315"/>
        </w:trPr>
        <w:tc>
          <w:tcPr>
            <w:tcW w:w="0" w:type="auto"/>
            <w:tcBorders>
              <w:top w:val="nil"/>
              <w:left w:val="nil"/>
              <w:bottom w:val="nil"/>
              <w:right w:val="nil"/>
            </w:tcBorders>
            <w:shd w:val="clear" w:color="000000" w:fill="FFFFFF"/>
            <w:noWrap/>
            <w:vAlign w:val="center"/>
            <w:hideMark/>
          </w:tcPr>
          <w:p w14:paraId="13F63356"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Amortisation charge</w:t>
            </w:r>
          </w:p>
        </w:tc>
        <w:tc>
          <w:tcPr>
            <w:tcW w:w="0" w:type="auto"/>
            <w:tcBorders>
              <w:top w:val="nil"/>
              <w:left w:val="nil"/>
              <w:bottom w:val="single" w:sz="8" w:space="0" w:color="auto"/>
              <w:right w:val="nil"/>
            </w:tcBorders>
            <w:shd w:val="clear" w:color="000000" w:fill="FFFFFF"/>
            <w:noWrap/>
            <w:vAlign w:val="center"/>
            <w:hideMark/>
          </w:tcPr>
          <w:p w14:paraId="671C150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3B5F7C8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5938BF0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710538A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1,682 </w:t>
            </w:r>
          </w:p>
        </w:tc>
        <w:tc>
          <w:tcPr>
            <w:tcW w:w="0" w:type="auto"/>
            <w:tcBorders>
              <w:top w:val="nil"/>
              <w:left w:val="nil"/>
              <w:bottom w:val="single" w:sz="8" w:space="0" w:color="auto"/>
              <w:right w:val="nil"/>
            </w:tcBorders>
            <w:shd w:val="clear" w:color="000000" w:fill="FFFFFF"/>
            <w:noWrap/>
            <w:vAlign w:val="center"/>
            <w:hideMark/>
          </w:tcPr>
          <w:p w14:paraId="705C031C"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4F0474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60EB3D3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1,682 </w:t>
            </w:r>
          </w:p>
        </w:tc>
      </w:tr>
      <w:tr w:rsidR="00CF27FB" w:rsidRPr="00CF27FB" w14:paraId="1AC9025A" w14:textId="77777777" w:rsidTr="00CF27FB">
        <w:trPr>
          <w:trHeight w:val="315"/>
        </w:trPr>
        <w:tc>
          <w:tcPr>
            <w:tcW w:w="0" w:type="auto"/>
            <w:tcBorders>
              <w:top w:val="nil"/>
              <w:left w:val="nil"/>
              <w:bottom w:val="nil"/>
              <w:right w:val="nil"/>
            </w:tcBorders>
            <w:shd w:val="clear" w:color="000000" w:fill="FFFFFF"/>
            <w:noWrap/>
            <w:vAlign w:val="center"/>
            <w:hideMark/>
          </w:tcPr>
          <w:p w14:paraId="043F4EB1"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2021</w:t>
            </w:r>
          </w:p>
        </w:tc>
        <w:tc>
          <w:tcPr>
            <w:tcW w:w="0" w:type="auto"/>
            <w:tcBorders>
              <w:top w:val="nil"/>
              <w:left w:val="nil"/>
              <w:bottom w:val="single" w:sz="8" w:space="0" w:color="auto"/>
              <w:right w:val="nil"/>
            </w:tcBorders>
            <w:shd w:val="clear" w:color="000000" w:fill="FFFFFF"/>
            <w:noWrap/>
            <w:vAlign w:val="center"/>
            <w:hideMark/>
          </w:tcPr>
          <w:p w14:paraId="0BBA97F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063E8DF"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63E9713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0DA8A89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3,937 </w:t>
            </w:r>
          </w:p>
        </w:tc>
        <w:tc>
          <w:tcPr>
            <w:tcW w:w="0" w:type="auto"/>
            <w:tcBorders>
              <w:top w:val="nil"/>
              <w:left w:val="nil"/>
              <w:bottom w:val="single" w:sz="8" w:space="0" w:color="auto"/>
              <w:right w:val="nil"/>
            </w:tcBorders>
            <w:shd w:val="clear" w:color="000000" w:fill="FFFFFF"/>
            <w:noWrap/>
            <w:vAlign w:val="center"/>
            <w:hideMark/>
          </w:tcPr>
          <w:p w14:paraId="1A587463"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4E75B10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415938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3,937 </w:t>
            </w:r>
          </w:p>
        </w:tc>
      </w:tr>
      <w:tr w:rsidR="00CF27FB" w:rsidRPr="00CF27FB" w14:paraId="2DE8E0CE" w14:textId="77777777" w:rsidTr="00CF27FB">
        <w:trPr>
          <w:trHeight w:val="300"/>
        </w:trPr>
        <w:tc>
          <w:tcPr>
            <w:tcW w:w="0" w:type="auto"/>
            <w:tcBorders>
              <w:top w:val="nil"/>
              <w:left w:val="nil"/>
              <w:bottom w:val="nil"/>
              <w:right w:val="nil"/>
            </w:tcBorders>
            <w:shd w:val="clear" w:color="000000" w:fill="FFFFFF"/>
            <w:noWrap/>
            <w:vAlign w:val="center"/>
            <w:hideMark/>
          </w:tcPr>
          <w:p w14:paraId="2C6BF08B"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Net book value</w:t>
            </w:r>
          </w:p>
        </w:tc>
        <w:tc>
          <w:tcPr>
            <w:tcW w:w="0" w:type="auto"/>
            <w:tcBorders>
              <w:top w:val="nil"/>
              <w:left w:val="nil"/>
              <w:bottom w:val="nil"/>
              <w:right w:val="nil"/>
            </w:tcBorders>
            <w:shd w:val="clear" w:color="000000" w:fill="FFFFFF"/>
            <w:noWrap/>
            <w:vAlign w:val="center"/>
            <w:hideMark/>
          </w:tcPr>
          <w:p w14:paraId="43F7C0AA"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12A70E21"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2DD5CFB2"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E8DB2FB"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1D1846CA"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76073BF"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A454159" w14:textId="77777777" w:rsidR="00CF27FB" w:rsidRPr="00CF27FB" w:rsidRDefault="00CF27FB" w:rsidP="00CF27FB">
            <w:pPr>
              <w:widowControl/>
              <w:autoSpaceDE/>
              <w:autoSpaceDN/>
              <w:rPr>
                <w:rFonts w:ascii="Arial" w:eastAsia="Times New Roman" w:hAnsi="Arial" w:cs="Arial"/>
                <w:b/>
                <w:bCs/>
                <w:color w:val="000000"/>
                <w:sz w:val="18"/>
                <w:szCs w:val="18"/>
                <w:lang w:bidi="ar-SA"/>
              </w:rPr>
            </w:pPr>
            <w:r w:rsidRPr="00CF27FB">
              <w:rPr>
                <w:rFonts w:ascii="Arial" w:eastAsia="Times New Roman" w:hAnsi="Arial" w:cs="Arial"/>
                <w:b/>
                <w:bCs/>
                <w:color w:val="000000"/>
                <w:sz w:val="18"/>
                <w:szCs w:val="18"/>
                <w:lang w:bidi="ar-SA"/>
              </w:rPr>
              <w:t> </w:t>
            </w:r>
          </w:p>
        </w:tc>
      </w:tr>
      <w:tr w:rsidR="00CF27FB" w:rsidRPr="00CF27FB" w14:paraId="0379A777" w14:textId="77777777" w:rsidTr="00CF27FB">
        <w:trPr>
          <w:trHeight w:val="315"/>
        </w:trPr>
        <w:tc>
          <w:tcPr>
            <w:tcW w:w="0" w:type="auto"/>
            <w:tcBorders>
              <w:top w:val="nil"/>
              <w:left w:val="nil"/>
              <w:bottom w:val="nil"/>
              <w:right w:val="nil"/>
            </w:tcBorders>
            <w:shd w:val="clear" w:color="000000" w:fill="FFFFFF"/>
            <w:noWrap/>
            <w:vAlign w:val="center"/>
            <w:hideMark/>
          </w:tcPr>
          <w:p w14:paraId="5A0500C6"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2021</w:t>
            </w:r>
          </w:p>
        </w:tc>
        <w:tc>
          <w:tcPr>
            <w:tcW w:w="0" w:type="auto"/>
            <w:tcBorders>
              <w:top w:val="nil"/>
              <w:left w:val="nil"/>
              <w:bottom w:val="double" w:sz="6" w:space="0" w:color="auto"/>
              <w:right w:val="nil"/>
            </w:tcBorders>
            <w:shd w:val="clear" w:color="000000" w:fill="FFFFFF"/>
            <w:noWrap/>
            <w:vAlign w:val="center"/>
            <w:hideMark/>
          </w:tcPr>
          <w:p w14:paraId="0CFB7FC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647,394 </w:t>
            </w:r>
          </w:p>
        </w:tc>
        <w:tc>
          <w:tcPr>
            <w:tcW w:w="0" w:type="auto"/>
            <w:tcBorders>
              <w:top w:val="nil"/>
              <w:left w:val="nil"/>
              <w:bottom w:val="double" w:sz="6" w:space="0" w:color="auto"/>
              <w:right w:val="nil"/>
            </w:tcBorders>
            <w:shd w:val="clear" w:color="000000" w:fill="FFFFFF"/>
            <w:noWrap/>
            <w:vAlign w:val="center"/>
            <w:hideMark/>
          </w:tcPr>
          <w:p w14:paraId="2761B296"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863,193 </w:t>
            </w:r>
          </w:p>
        </w:tc>
        <w:tc>
          <w:tcPr>
            <w:tcW w:w="0" w:type="auto"/>
            <w:tcBorders>
              <w:top w:val="nil"/>
              <w:left w:val="nil"/>
              <w:bottom w:val="double" w:sz="6" w:space="0" w:color="auto"/>
              <w:right w:val="nil"/>
            </w:tcBorders>
            <w:shd w:val="clear" w:color="000000" w:fill="FFFFFF"/>
            <w:noWrap/>
            <w:vAlign w:val="center"/>
            <w:hideMark/>
          </w:tcPr>
          <w:p w14:paraId="6A0CEE4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9,997,928 </w:t>
            </w:r>
          </w:p>
        </w:tc>
        <w:tc>
          <w:tcPr>
            <w:tcW w:w="0" w:type="auto"/>
            <w:tcBorders>
              <w:top w:val="nil"/>
              <w:left w:val="nil"/>
              <w:bottom w:val="double" w:sz="6" w:space="0" w:color="auto"/>
              <w:right w:val="nil"/>
            </w:tcBorders>
            <w:shd w:val="clear" w:color="000000" w:fill="FFFFFF"/>
            <w:noWrap/>
            <w:vAlign w:val="center"/>
            <w:hideMark/>
          </w:tcPr>
          <w:p w14:paraId="0D1EB03B"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51,063 </w:t>
            </w:r>
          </w:p>
        </w:tc>
        <w:tc>
          <w:tcPr>
            <w:tcW w:w="0" w:type="auto"/>
            <w:tcBorders>
              <w:top w:val="nil"/>
              <w:left w:val="nil"/>
              <w:bottom w:val="double" w:sz="6" w:space="0" w:color="auto"/>
              <w:right w:val="nil"/>
            </w:tcBorders>
            <w:shd w:val="clear" w:color="000000" w:fill="FFFFFF"/>
            <w:noWrap/>
            <w:vAlign w:val="center"/>
            <w:hideMark/>
          </w:tcPr>
          <w:p w14:paraId="6D5B7A02"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150,000 </w:t>
            </w:r>
          </w:p>
        </w:tc>
        <w:tc>
          <w:tcPr>
            <w:tcW w:w="0" w:type="auto"/>
            <w:tcBorders>
              <w:top w:val="nil"/>
              <w:left w:val="nil"/>
              <w:bottom w:val="double" w:sz="6" w:space="0" w:color="auto"/>
              <w:right w:val="nil"/>
            </w:tcBorders>
            <w:shd w:val="clear" w:color="000000" w:fill="FFFFFF"/>
            <w:noWrap/>
            <w:vAlign w:val="center"/>
            <w:hideMark/>
          </w:tcPr>
          <w:p w14:paraId="69648FD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121,567 </w:t>
            </w:r>
          </w:p>
        </w:tc>
        <w:tc>
          <w:tcPr>
            <w:tcW w:w="0" w:type="auto"/>
            <w:tcBorders>
              <w:top w:val="nil"/>
              <w:left w:val="nil"/>
              <w:bottom w:val="double" w:sz="6" w:space="0" w:color="auto"/>
              <w:right w:val="nil"/>
            </w:tcBorders>
            <w:shd w:val="clear" w:color="auto" w:fill="auto"/>
            <w:noWrap/>
            <w:vAlign w:val="center"/>
            <w:hideMark/>
          </w:tcPr>
          <w:p w14:paraId="51F01C47"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11,831,145 </w:t>
            </w:r>
          </w:p>
        </w:tc>
      </w:tr>
      <w:tr w:rsidR="00CF27FB" w:rsidRPr="00CF27FB" w14:paraId="300FDDBB" w14:textId="77777777" w:rsidTr="00CF27FB">
        <w:trPr>
          <w:trHeight w:val="330"/>
        </w:trPr>
        <w:tc>
          <w:tcPr>
            <w:tcW w:w="0" w:type="auto"/>
            <w:tcBorders>
              <w:top w:val="nil"/>
              <w:left w:val="nil"/>
              <w:bottom w:val="nil"/>
              <w:right w:val="nil"/>
            </w:tcBorders>
            <w:shd w:val="clear" w:color="000000" w:fill="FFFFFF"/>
            <w:noWrap/>
            <w:vAlign w:val="center"/>
            <w:hideMark/>
          </w:tcPr>
          <w:p w14:paraId="6D1A2145" w14:textId="77777777" w:rsidR="00CF27FB" w:rsidRPr="00CF27FB" w:rsidRDefault="00CF27FB" w:rsidP="00CF27FB">
            <w:pPr>
              <w:widowControl/>
              <w:autoSpaceDE/>
              <w:autoSpaceDN/>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At 31 July 2020</w:t>
            </w:r>
          </w:p>
        </w:tc>
        <w:tc>
          <w:tcPr>
            <w:tcW w:w="0" w:type="auto"/>
            <w:tcBorders>
              <w:top w:val="nil"/>
              <w:left w:val="nil"/>
              <w:bottom w:val="double" w:sz="6" w:space="0" w:color="auto"/>
              <w:right w:val="nil"/>
            </w:tcBorders>
            <w:shd w:val="clear" w:color="000000" w:fill="FFFFFF"/>
            <w:noWrap/>
            <w:vAlign w:val="center"/>
            <w:hideMark/>
          </w:tcPr>
          <w:p w14:paraId="1E7B583E"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647,394 </w:t>
            </w:r>
          </w:p>
        </w:tc>
        <w:tc>
          <w:tcPr>
            <w:tcW w:w="0" w:type="auto"/>
            <w:tcBorders>
              <w:top w:val="nil"/>
              <w:left w:val="nil"/>
              <w:bottom w:val="double" w:sz="6" w:space="0" w:color="auto"/>
              <w:right w:val="nil"/>
            </w:tcBorders>
            <w:shd w:val="clear" w:color="000000" w:fill="FFFFFF"/>
            <w:noWrap/>
            <w:vAlign w:val="center"/>
            <w:hideMark/>
          </w:tcPr>
          <w:p w14:paraId="7CF505E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863,193 </w:t>
            </w:r>
          </w:p>
        </w:tc>
        <w:tc>
          <w:tcPr>
            <w:tcW w:w="0" w:type="auto"/>
            <w:tcBorders>
              <w:top w:val="nil"/>
              <w:left w:val="nil"/>
              <w:bottom w:val="double" w:sz="6" w:space="0" w:color="auto"/>
              <w:right w:val="nil"/>
            </w:tcBorders>
            <w:shd w:val="clear" w:color="000000" w:fill="FFFFFF"/>
            <w:noWrap/>
            <w:vAlign w:val="center"/>
            <w:hideMark/>
          </w:tcPr>
          <w:p w14:paraId="5EEF9441"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9,621,767 </w:t>
            </w:r>
          </w:p>
        </w:tc>
        <w:tc>
          <w:tcPr>
            <w:tcW w:w="0" w:type="auto"/>
            <w:tcBorders>
              <w:top w:val="nil"/>
              <w:left w:val="nil"/>
              <w:bottom w:val="double" w:sz="6" w:space="0" w:color="auto"/>
              <w:right w:val="nil"/>
            </w:tcBorders>
            <w:shd w:val="clear" w:color="000000" w:fill="FFFFFF"/>
            <w:noWrap/>
            <w:vAlign w:val="center"/>
            <w:hideMark/>
          </w:tcPr>
          <w:p w14:paraId="281763D9"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52,745 </w:t>
            </w:r>
          </w:p>
        </w:tc>
        <w:tc>
          <w:tcPr>
            <w:tcW w:w="0" w:type="auto"/>
            <w:tcBorders>
              <w:top w:val="nil"/>
              <w:left w:val="nil"/>
              <w:bottom w:val="double" w:sz="6" w:space="0" w:color="auto"/>
              <w:right w:val="nil"/>
            </w:tcBorders>
            <w:shd w:val="clear" w:color="000000" w:fill="FFFFFF"/>
            <w:noWrap/>
            <w:vAlign w:val="center"/>
            <w:hideMark/>
          </w:tcPr>
          <w:p w14:paraId="245E345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   </w:t>
            </w:r>
          </w:p>
        </w:tc>
        <w:tc>
          <w:tcPr>
            <w:tcW w:w="0" w:type="auto"/>
            <w:tcBorders>
              <w:top w:val="nil"/>
              <w:left w:val="nil"/>
              <w:bottom w:val="double" w:sz="6" w:space="0" w:color="auto"/>
              <w:right w:val="nil"/>
            </w:tcBorders>
            <w:shd w:val="clear" w:color="000000" w:fill="FFFFFF"/>
            <w:noWrap/>
            <w:vAlign w:val="center"/>
            <w:hideMark/>
          </w:tcPr>
          <w:p w14:paraId="4D0A52B5"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21,732 </w:t>
            </w:r>
          </w:p>
        </w:tc>
        <w:tc>
          <w:tcPr>
            <w:tcW w:w="0" w:type="auto"/>
            <w:tcBorders>
              <w:top w:val="nil"/>
              <w:left w:val="nil"/>
              <w:bottom w:val="double" w:sz="6" w:space="0" w:color="auto"/>
              <w:right w:val="nil"/>
            </w:tcBorders>
            <w:shd w:val="clear" w:color="000000" w:fill="FFFFFF"/>
            <w:noWrap/>
            <w:vAlign w:val="center"/>
            <w:hideMark/>
          </w:tcPr>
          <w:p w14:paraId="2013BB94" w14:textId="77777777" w:rsidR="00CF27FB" w:rsidRPr="00CF27FB" w:rsidRDefault="00CF27FB" w:rsidP="00CF27FB">
            <w:pPr>
              <w:widowControl/>
              <w:autoSpaceDE/>
              <w:autoSpaceDN/>
              <w:jc w:val="right"/>
              <w:rPr>
                <w:rFonts w:ascii="Arial" w:eastAsia="Times New Roman" w:hAnsi="Arial" w:cs="Arial"/>
                <w:color w:val="000000"/>
                <w:sz w:val="18"/>
                <w:szCs w:val="18"/>
                <w:lang w:bidi="ar-SA"/>
              </w:rPr>
            </w:pPr>
            <w:r w:rsidRPr="00CF27FB">
              <w:rPr>
                <w:rFonts w:ascii="Arial" w:eastAsia="Times New Roman" w:hAnsi="Arial" w:cs="Arial"/>
                <w:color w:val="000000"/>
                <w:sz w:val="18"/>
                <w:szCs w:val="18"/>
                <w:lang w:bidi="ar-SA"/>
              </w:rPr>
              <w:t xml:space="preserve">         11,206,831 </w:t>
            </w:r>
          </w:p>
        </w:tc>
      </w:tr>
    </w:tbl>
    <w:p w14:paraId="2446BDDC" w14:textId="77777777" w:rsidR="0081034F" w:rsidRPr="00DB2968" w:rsidRDefault="0081034F" w:rsidP="0089653F">
      <w:pPr>
        <w:tabs>
          <w:tab w:val="left" w:pos="989"/>
        </w:tabs>
        <w:rPr>
          <w:rFonts w:asciiTheme="minorHAnsi" w:hAnsiTheme="minorHAnsi" w:cstheme="minorHAnsi"/>
          <w:sz w:val="20"/>
          <w:szCs w:val="20"/>
        </w:rPr>
        <w:sectPr w:rsidR="0081034F" w:rsidRPr="00DB2968" w:rsidSect="0081034F">
          <w:pgSz w:w="16840" w:h="11910" w:orient="landscape"/>
          <w:pgMar w:top="1077" w:right="1440" w:bottom="1077" w:left="1440" w:header="0" w:footer="539" w:gutter="0"/>
          <w:cols w:space="720"/>
          <w:docGrid w:linePitch="299"/>
        </w:sectPr>
      </w:pPr>
    </w:p>
    <w:tbl>
      <w:tblPr>
        <w:tblW w:w="0" w:type="auto"/>
        <w:tblLook w:val="04A0" w:firstRow="1" w:lastRow="0" w:firstColumn="1" w:lastColumn="0" w:noHBand="0" w:noVBand="1"/>
      </w:tblPr>
      <w:tblGrid>
        <w:gridCol w:w="2050"/>
        <w:gridCol w:w="267"/>
        <w:gridCol w:w="1917"/>
        <w:gridCol w:w="1637"/>
        <w:gridCol w:w="1767"/>
        <w:gridCol w:w="1537"/>
        <w:gridCol w:w="1867"/>
        <w:gridCol w:w="1907"/>
        <w:gridCol w:w="1617"/>
      </w:tblGrid>
      <w:tr w:rsidR="00937254" w:rsidRPr="00937254" w14:paraId="1CF18E50" w14:textId="77777777" w:rsidTr="00937254">
        <w:trPr>
          <w:trHeight w:val="300"/>
        </w:trPr>
        <w:tc>
          <w:tcPr>
            <w:tcW w:w="0" w:type="auto"/>
            <w:gridSpan w:val="3"/>
            <w:tcBorders>
              <w:top w:val="nil"/>
              <w:left w:val="nil"/>
              <w:bottom w:val="nil"/>
              <w:right w:val="nil"/>
            </w:tcBorders>
            <w:shd w:val="clear" w:color="auto" w:fill="auto"/>
            <w:noWrap/>
            <w:vAlign w:val="bottom"/>
            <w:hideMark/>
          </w:tcPr>
          <w:p w14:paraId="0A484DC1"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lastRenderedPageBreak/>
              <w:t xml:space="preserve">4. Property, </w:t>
            </w:r>
            <w:proofErr w:type="gramStart"/>
            <w:r w:rsidRPr="00937254">
              <w:rPr>
                <w:rFonts w:ascii="Arial" w:eastAsia="Times New Roman" w:hAnsi="Arial" w:cs="Arial"/>
                <w:b/>
                <w:bCs/>
                <w:color w:val="000000"/>
                <w:sz w:val="20"/>
                <w:szCs w:val="20"/>
                <w:lang w:bidi="ar-SA"/>
              </w:rPr>
              <w:t>plant</w:t>
            </w:r>
            <w:proofErr w:type="gramEnd"/>
            <w:r w:rsidRPr="00937254">
              <w:rPr>
                <w:rFonts w:ascii="Arial" w:eastAsia="Times New Roman" w:hAnsi="Arial" w:cs="Arial"/>
                <w:b/>
                <w:bCs/>
                <w:color w:val="000000"/>
                <w:sz w:val="20"/>
                <w:szCs w:val="20"/>
                <w:lang w:bidi="ar-SA"/>
              </w:rPr>
              <w:t xml:space="preserve"> and equipment</w:t>
            </w:r>
          </w:p>
        </w:tc>
        <w:tc>
          <w:tcPr>
            <w:tcW w:w="0" w:type="auto"/>
            <w:tcBorders>
              <w:top w:val="nil"/>
              <w:left w:val="nil"/>
              <w:bottom w:val="nil"/>
              <w:right w:val="nil"/>
            </w:tcBorders>
            <w:shd w:val="clear" w:color="auto" w:fill="auto"/>
            <w:noWrap/>
            <w:vAlign w:val="bottom"/>
            <w:hideMark/>
          </w:tcPr>
          <w:p w14:paraId="12DB908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0C43387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9DB2A3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7F058A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A85C72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934E2E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705F51EF" w14:textId="77777777" w:rsidTr="00937254">
        <w:trPr>
          <w:trHeight w:val="720"/>
        </w:trPr>
        <w:tc>
          <w:tcPr>
            <w:tcW w:w="0" w:type="auto"/>
            <w:tcBorders>
              <w:top w:val="nil"/>
              <w:left w:val="nil"/>
              <w:bottom w:val="nil"/>
              <w:right w:val="nil"/>
            </w:tcBorders>
            <w:shd w:val="clear" w:color="000000" w:fill="FFFFFF"/>
            <w:noWrap/>
            <w:vAlign w:val="center"/>
            <w:hideMark/>
          </w:tcPr>
          <w:p w14:paraId="79ED5718"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2133313A"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3F43B23"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Land and buildings</w:t>
            </w:r>
          </w:p>
        </w:tc>
        <w:tc>
          <w:tcPr>
            <w:tcW w:w="0" w:type="auto"/>
            <w:tcBorders>
              <w:top w:val="nil"/>
              <w:left w:val="nil"/>
              <w:bottom w:val="nil"/>
              <w:right w:val="nil"/>
            </w:tcBorders>
            <w:shd w:val="clear" w:color="000000" w:fill="FFFFFF"/>
            <w:noWrap/>
            <w:vAlign w:val="center"/>
            <w:hideMark/>
          </w:tcPr>
          <w:p w14:paraId="0B8D88FB"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Right of use</w:t>
            </w:r>
          </w:p>
        </w:tc>
        <w:tc>
          <w:tcPr>
            <w:tcW w:w="0" w:type="auto"/>
            <w:tcBorders>
              <w:top w:val="nil"/>
              <w:left w:val="nil"/>
              <w:bottom w:val="nil"/>
              <w:right w:val="nil"/>
            </w:tcBorders>
            <w:shd w:val="clear" w:color="000000" w:fill="FFFFFF"/>
            <w:noWrap/>
            <w:vAlign w:val="center"/>
            <w:hideMark/>
          </w:tcPr>
          <w:p w14:paraId="4FCCC1CD"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Office equipment</w:t>
            </w:r>
          </w:p>
        </w:tc>
        <w:tc>
          <w:tcPr>
            <w:tcW w:w="0" w:type="auto"/>
            <w:tcBorders>
              <w:top w:val="nil"/>
              <w:left w:val="nil"/>
              <w:bottom w:val="nil"/>
              <w:right w:val="nil"/>
            </w:tcBorders>
            <w:shd w:val="clear" w:color="000000" w:fill="FFFFFF"/>
            <w:noWrap/>
            <w:vAlign w:val="center"/>
            <w:hideMark/>
          </w:tcPr>
          <w:p w14:paraId="7D33AD49"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Motor vehicles</w:t>
            </w:r>
          </w:p>
        </w:tc>
        <w:tc>
          <w:tcPr>
            <w:tcW w:w="0" w:type="auto"/>
            <w:tcBorders>
              <w:top w:val="nil"/>
              <w:left w:val="nil"/>
              <w:bottom w:val="nil"/>
              <w:right w:val="nil"/>
            </w:tcBorders>
            <w:shd w:val="clear" w:color="000000" w:fill="FFFFFF"/>
            <w:noWrap/>
            <w:vAlign w:val="center"/>
            <w:hideMark/>
          </w:tcPr>
          <w:p w14:paraId="428BC53A"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Plant &amp; machinery</w:t>
            </w:r>
          </w:p>
        </w:tc>
        <w:tc>
          <w:tcPr>
            <w:tcW w:w="0" w:type="auto"/>
            <w:tcBorders>
              <w:top w:val="nil"/>
              <w:left w:val="nil"/>
              <w:bottom w:val="nil"/>
              <w:right w:val="nil"/>
            </w:tcBorders>
            <w:shd w:val="clear" w:color="000000" w:fill="FFFFFF"/>
            <w:vAlign w:val="center"/>
            <w:hideMark/>
          </w:tcPr>
          <w:p w14:paraId="071A17B8"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Plant &amp; machinery under construction</w:t>
            </w:r>
          </w:p>
        </w:tc>
        <w:tc>
          <w:tcPr>
            <w:tcW w:w="0" w:type="auto"/>
            <w:tcBorders>
              <w:top w:val="nil"/>
              <w:left w:val="nil"/>
              <w:bottom w:val="nil"/>
              <w:right w:val="nil"/>
            </w:tcBorders>
            <w:shd w:val="clear" w:color="000000" w:fill="FFFFFF"/>
            <w:noWrap/>
            <w:vAlign w:val="center"/>
            <w:hideMark/>
          </w:tcPr>
          <w:p w14:paraId="0F0C9290"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Total</w:t>
            </w:r>
          </w:p>
        </w:tc>
      </w:tr>
      <w:tr w:rsidR="00937254" w:rsidRPr="00937254" w14:paraId="32B546B4" w14:textId="77777777" w:rsidTr="00937254">
        <w:trPr>
          <w:trHeight w:val="300"/>
        </w:trPr>
        <w:tc>
          <w:tcPr>
            <w:tcW w:w="0" w:type="auto"/>
            <w:tcBorders>
              <w:top w:val="nil"/>
              <w:left w:val="nil"/>
              <w:bottom w:val="nil"/>
              <w:right w:val="nil"/>
            </w:tcBorders>
            <w:shd w:val="clear" w:color="000000" w:fill="FFFFFF"/>
            <w:noWrap/>
            <w:vAlign w:val="center"/>
            <w:hideMark/>
          </w:tcPr>
          <w:p w14:paraId="13D743CD"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450BA42"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80644F3"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53900959"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57C38AD3"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03B1A549"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511E92D2"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1CF37010"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c>
          <w:tcPr>
            <w:tcW w:w="0" w:type="auto"/>
            <w:tcBorders>
              <w:top w:val="nil"/>
              <w:left w:val="nil"/>
              <w:bottom w:val="nil"/>
              <w:right w:val="nil"/>
            </w:tcBorders>
            <w:shd w:val="clear" w:color="000000" w:fill="FFFFFF"/>
            <w:noWrap/>
            <w:vAlign w:val="center"/>
            <w:hideMark/>
          </w:tcPr>
          <w:p w14:paraId="421ECD42" w14:textId="77777777" w:rsidR="00937254" w:rsidRPr="00937254" w:rsidRDefault="00937254" w:rsidP="00937254">
            <w:pPr>
              <w:widowControl/>
              <w:autoSpaceDE/>
              <w:autoSpaceDN/>
              <w:jc w:val="right"/>
              <w:rPr>
                <w:rFonts w:ascii="Arial" w:eastAsia="Times New Roman" w:hAnsi="Arial" w:cs="Arial"/>
                <w:b/>
                <w:bCs/>
                <w:color w:val="000000"/>
                <w:sz w:val="18"/>
                <w:szCs w:val="18"/>
                <w:lang w:bidi="ar-SA"/>
              </w:rPr>
            </w:pPr>
            <w:r w:rsidRPr="00937254">
              <w:rPr>
                <w:rFonts w:ascii="Arial" w:eastAsia="Times New Roman" w:hAnsi="Arial" w:cs="Arial"/>
                <w:b/>
                <w:bCs/>
                <w:color w:val="000000"/>
                <w:sz w:val="18"/>
                <w:szCs w:val="18"/>
                <w:lang w:bidi="ar-SA"/>
              </w:rPr>
              <w:t>£</w:t>
            </w:r>
          </w:p>
        </w:tc>
      </w:tr>
      <w:tr w:rsidR="00937254" w:rsidRPr="00937254" w14:paraId="60AC8BC8" w14:textId="77777777" w:rsidTr="00937254">
        <w:trPr>
          <w:trHeight w:val="300"/>
        </w:trPr>
        <w:tc>
          <w:tcPr>
            <w:tcW w:w="0" w:type="auto"/>
            <w:tcBorders>
              <w:top w:val="nil"/>
              <w:left w:val="nil"/>
              <w:bottom w:val="nil"/>
              <w:right w:val="nil"/>
            </w:tcBorders>
            <w:shd w:val="clear" w:color="000000" w:fill="FFFFFF"/>
            <w:noWrap/>
            <w:vAlign w:val="center"/>
            <w:hideMark/>
          </w:tcPr>
          <w:p w14:paraId="6F66262E" w14:textId="77777777" w:rsidR="00937254" w:rsidRPr="00937254" w:rsidRDefault="00937254" w:rsidP="00937254">
            <w:pPr>
              <w:widowControl/>
              <w:autoSpaceDE/>
              <w:autoSpaceDN/>
              <w:rPr>
                <w:rFonts w:ascii="Arial" w:eastAsia="Times New Roman" w:hAnsi="Arial" w:cs="Arial"/>
                <w:b/>
                <w:bCs/>
                <w:sz w:val="18"/>
                <w:szCs w:val="18"/>
                <w:u w:val="single"/>
                <w:lang w:bidi="ar-SA"/>
              </w:rPr>
            </w:pPr>
            <w:r w:rsidRPr="00937254">
              <w:rPr>
                <w:rFonts w:ascii="Arial" w:eastAsia="Times New Roman" w:hAnsi="Arial" w:cs="Arial"/>
                <w:b/>
                <w:bCs/>
                <w:sz w:val="18"/>
                <w:szCs w:val="18"/>
                <w:u w:val="single"/>
                <w:lang w:bidi="ar-SA"/>
              </w:rPr>
              <w:t>Cost or valuation</w:t>
            </w:r>
          </w:p>
        </w:tc>
        <w:tc>
          <w:tcPr>
            <w:tcW w:w="0" w:type="auto"/>
            <w:tcBorders>
              <w:top w:val="nil"/>
              <w:left w:val="nil"/>
              <w:bottom w:val="nil"/>
              <w:right w:val="nil"/>
            </w:tcBorders>
            <w:shd w:val="clear" w:color="000000" w:fill="FFFFFF"/>
            <w:noWrap/>
            <w:vAlign w:val="center"/>
            <w:hideMark/>
          </w:tcPr>
          <w:p w14:paraId="3CD394CB"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1C0000BF"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4729606D"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1965028D"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531FA39A"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7FD4369D"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0B4025EA"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36FB45AB"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r>
      <w:tr w:rsidR="00937254" w:rsidRPr="00937254" w14:paraId="56949EE0" w14:textId="77777777" w:rsidTr="00937254">
        <w:trPr>
          <w:trHeight w:val="300"/>
        </w:trPr>
        <w:tc>
          <w:tcPr>
            <w:tcW w:w="0" w:type="auto"/>
            <w:tcBorders>
              <w:top w:val="nil"/>
              <w:left w:val="nil"/>
              <w:bottom w:val="nil"/>
              <w:right w:val="nil"/>
            </w:tcBorders>
            <w:shd w:val="clear" w:color="000000" w:fill="FFFFFF"/>
            <w:noWrap/>
            <w:vAlign w:val="center"/>
            <w:hideMark/>
          </w:tcPr>
          <w:p w14:paraId="567B6F9E"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1 August 2019</w:t>
            </w:r>
          </w:p>
        </w:tc>
        <w:tc>
          <w:tcPr>
            <w:tcW w:w="0" w:type="auto"/>
            <w:tcBorders>
              <w:top w:val="nil"/>
              <w:left w:val="nil"/>
              <w:bottom w:val="nil"/>
              <w:right w:val="nil"/>
            </w:tcBorders>
            <w:shd w:val="clear" w:color="000000" w:fill="FFFFFF"/>
            <w:noWrap/>
            <w:vAlign w:val="center"/>
            <w:hideMark/>
          </w:tcPr>
          <w:p w14:paraId="5875D2D2"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3B2594A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730,799 </w:t>
            </w:r>
          </w:p>
        </w:tc>
        <w:tc>
          <w:tcPr>
            <w:tcW w:w="0" w:type="auto"/>
            <w:tcBorders>
              <w:top w:val="nil"/>
              <w:left w:val="nil"/>
              <w:bottom w:val="nil"/>
              <w:right w:val="nil"/>
            </w:tcBorders>
            <w:shd w:val="clear" w:color="000000" w:fill="FFFFFF"/>
            <w:noWrap/>
            <w:vAlign w:val="center"/>
            <w:hideMark/>
          </w:tcPr>
          <w:p w14:paraId="2BC3FC98" w14:textId="77777777" w:rsidR="00937254" w:rsidRPr="00937254" w:rsidRDefault="00937254" w:rsidP="00937254">
            <w:pPr>
              <w:widowControl/>
              <w:autoSpaceDE/>
              <w:autoSpaceDN/>
              <w:jc w:val="right"/>
              <w:rPr>
                <w:rFonts w:ascii="Arial" w:eastAsia="Times New Roman" w:hAnsi="Arial" w:cs="Arial"/>
                <w:color w:val="008080"/>
                <w:sz w:val="18"/>
                <w:szCs w:val="18"/>
                <w:lang w:bidi="ar-SA"/>
              </w:rPr>
            </w:pPr>
            <w:r w:rsidRPr="00937254">
              <w:rPr>
                <w:rFonts w:ascii="Arial" w:eastAsia="Times New Roman" w:hAnsi="Arial" w:cs="Arial"/>
                <w:color w:val="00808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18BE22B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8,918 </w:t>
            </w:r>
          </w:p>
        </w:tc>
        <w:tc>
          <w:tcPr>
            <w:tcW w:w="0" w:type="auto"/>
            <w:tcBorders>
              <w:top w:val="nil"/>
              <w:left w:val="nil"/>
              <w:bottom w:val="nil"/>
              <w:right w:val="nil"/>
            </w:tcBorders>
            <w:shd w:val="clear" w:color="000000" w:fill="FFFFFF"/>
            <w:noWrap/>
            <w:vAlign w:val="center"/>
            <w:hideMark/>
          </w:tcPr>
          <w:p w14:paraId="5146BBF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1A5EBB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55198E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5664080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739,717 </w:t>
            </w:r>
          </w:p>
        </w:tc>
      </w:tr>
      <w:tr w:rsidR="00937254" w:rsidRPr="00937254" w14:paraId="2603B830" w14:textId="77777777" w:rsidTr="00937254">
        <w:trPr>
          <w:trHeight w:val="480"/>
        </w:trPr>
        <w:tc>
          <w:tcPr>
            <w:tcW w:w="0" w:type="auto"/>
            <w:tcBorders>
              <w:top w:val="nil"/>
              <w:left w:val="nil"/>
              <w:bottom w:val="nil"/>
              <w:right w:val="nil"/>
            </w:tcBorders>
            <w:shd w:val="clear" w:color="000000" w:fill="FFFFFF"/>
            <w:vAlign w:val="center"/>
            <w:hideMark/>
          </w:tcPr>
          <w:p w14:paraId="1E9FE945"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Revaluation recognised in other comprehensive income</w:t>
            </w:r>
          </w:p>
        </w:tc>
        <w:tc>
          <w:tcPr>
            <w:tcW w:w="0" w:type="auto"/>
            <w:tcBorders>
              <w:top w:val="nil"/>
              <w:left w:val="nil"/>
              <w:bottom w:val="nil"/>
              <w:right w:val="nil"/>
            </w:tcBorders>
            <w:shd w:val="clear" w:color="000000" w:fill="FFFFFF"/>
            <w:noWrap/>
            <w:vAlign w:val="center"/>
            <w:hideMark/>
          </w:tcPr>
          <w:p w14:paraId="77C4B323"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01932F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3,066,738 </w:t>
            </w:r>
          </w:p>
        </w:tc>
        <w:tc>
          <w:tcPr>
            <w:tcW w:w="0" w:type="auto"/>
            <w:tcBorders>
              <w:top w:val="nil"/>
              <w:left w:val="nil"/>
              <w:bottom w:val="nil"/>
              <w:right w:val="nil"/>
            </w:tcBorders>
            <w:shd w:val="clear" w:color="000000" w:fill="FFFFFF"/>
            <w:noWrap/>
            <w:vAlign w:val="center"/>
            <w:hideMark/>
          </w:tcPr>
          <w:p w14:paraId="71C4DAE9" w14:textId="77777777" w:rsidR="00937254" w:rsidRPr="00937254" w:rsidRDefault="00937254" w:rsidP="00937254">
            <w:pPr>
              <w:widowControl/>
              <w:autoSpaceDE/>
              <w:autoSpaceDN/>
              <w:jc w:val="right"/>
              <w:rPr>
                <w:rFonts w:ascii="Arial" w:eastAsia="Times New Roman" w:hAnsi="Arial" w:cs="Arial"/>
                <w:color w:val="008080"/>
                <w:sz w:val="18"/>
                <w:szCs w:val="18"/>
                <w:lang w:bidi="ar-SA"/>
              </w:rPr>
            </w:pPr>
            <w:r w:rsidRPr="00937254">
              <w:rPr>
                <w:rFonts w:ascii="Arial" w:eastAsia="Times New Roman" w:hAnsi="Arial" w:cs="Arial"/>
                <w:color w:val="00808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80F0AC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25,972 </w:t>
            </w:r>
          </w:p>
        </w:tc>
        <w:tc>
          <w:tcPr>
            <w:tcW w:w="0" w:type="auto"/>
            <w:tcBorders>
              <w:top w:val="nil"/>
              <w:left w:val="nil"/>
              <w:bottom w:val="nil"/>
              <w:right w:val="nil"/>
            </w:tcBorders>
            <w:shd w:val="clear" w:color="000000" w:fill="FFFFFF"/>
            <w:noWrap/>
            <w:vAlign w:val="center"/>
            <w:hideMark/>
          </w:tcPr>
          <w:p w14:paraId="641DC1D2"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373,464 </w:t>
            </w:r>
          </w:p>
        </w:tc>
        <w:tc>
          <w:tcPr>
            <w:tcW w:w="0" w:type="auto"/>
            <w:tcBorders>
              <w:top w:val="nil"/>
              <w:left w:val="nil"/>
              <w:bottom w:val="nil"/>
              <w:right w:val="nil"/>
            </w:tcBorders>
            <w:shd w:val="clear" w:color="000000" w:fill="FFFFFF"/>
            <w:noWrap/>
            <w:vAlign w:val="center"/>
            <w:hideMark/>
          </w:tcPr>
          <w:p w14:paraId="64A1785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2,346,331 </w:t>
            </w:r>
          </w:p>
        </w:tc>
        <w:tc>
          <w:tcPr>
            <w:tcW w:w="0" w:type="auto"/>
            <w:tcBorders>
              <w:top w:val="nil"/>
              <w:left w:val="nil"/>
              <w:bottom w:val="nil"/>
              <w:right w:val="nil"/>
            </w:tcBorders>
            <w:shd w:val="clear" w:color="000000" w:fill="FFFFFF"/>
            <w:noWrap/>
            <w:vAlign w:val="center"/>
            <w:hideMark/>
          </w:tcPr>
          <w:p w14:paraId="2192A6C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12140B5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5,812,505 </w:t>
            </w:r>
          </w:p>
        </w:tc>
      </w:tr>
      <w:tr w:rsidR="00937254" w:rsidRPr="00937254" w14:paraId="03CCF70F" w14:textId="77777777" w:rsidTr="00937254">
        <w:trPr>
          <w:trHeight w:val="315"/>
        </w:trPr>
        <w:tc>
          <w:tcPr>
            <w:tcW w:w="0" w:type="auto"/>
            <w:tcBorders>
              <w:top w:val="nil"/>
              <w:left w:val="nil"/>
              <w:bottom w:val="nil"/>
              <w:right w:val="nil"/>
            </w:tcBorders>
            <w:shd w:val="clear" w:color="000000" w:fill="FFFFFF"/>
            <w:noWrap/>
            <w:vAlign w:val="center"/>
            <w:hideMark/>
          </w:tcPr>
          <w:p w14:paraId="77BDCA06"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Additions</w:t>
            </w:r>
          </w:p>
        </w:tc>
        <w:tc>
          <w:tcPr>
            <w:tcW w:w="0" w:type="auto"/>
            <w:tcBorders>
              <w:top w:val="nil"/>
              <w:left w:val="nil"/>
              <w:bottom w:val="nil"/>
              <w:right w:val="nil"/>
            </w:tcBorders>
            <w:shd w:val="clear" w:color="000000" w:fill="FFFFFF"/>
            <w:noWrap/>
            <w:vAlign w:val="center"/>
            <w:hideMark/>
          </w:tcPr>
          <w:p w14:paraId="46FC380C"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54FF058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2,806,171 </w:t>
            </w:r>
          </w:p>
        </w:tc>
        <w:tc>
          <w:tcPr>
            <w:tcW w:w="0" w:type="auto"/>
            <w:tcBorders>
              <w:top w:val="nil"/>
              <w:left w:val="nil"/>
              <w:bottom w:val="single" w:sz="8" w:space="0" w:color="auto"/>
              <w:right w:val="nil"/>
            </w:tcBorders>
            <w:shd w:val="clear" w:color="000000" w:fill="FFFFFF"/>
            <w:noWrap/>
            <w:vAlign w:val="center"/>
            <w:hideMark/>
          </w:tcPr>
          <w:p w14:paraId="56846F8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14,302,133 </w:t>
            </w:r>
          </w:p>
        </w:tc>
        <w:tc>
          <w:tcPr>
            <w:tcW w:w="0" w:type="auto"/>
            <w:tcBorders>
              <w:top w:val="nil"/>
              <w:left w:val="nil"/>
              <w:bottom w:val="single" w:sz="8" w:space="0" w:color="auto"/>
              <w:right w:val="nil"/>
            </w:tcBorders>
            <w:shd w:val="clear" w:color="000000" w:fill="FFFFFF"/>
            <w:noWrap/>
            <w:vAlign w:val="center"/>
            <w:hideMark/>
          </w:tcPr>
          <w:p w14:paraId="31B7533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203,574 </w:t>
            </w:r>
          </w:p>
        </w:tc>
        <w:tc>
          <w:tcPr>
            <w:tcW w:w="0" w:type="auto"/>
            <w:tcBorders>
              <w:top w:val="nil"/>
              <w:left w:val="nil"/>
              <w:bottom w:val="single" w:sz="8" w:space="0" w:color="auto"/>
              <w:right w:val="nil"/>
            </w:tcBorders>
            <w:shd w:val="clear" w:color="000000" w:fill="FFFFFF"/>
            <w:noWrap/>
            <w:vAlign w:val="center"/>
            <w:hideMark/>
          </w:tcPr>
          <w:p w14:paraId="60FFBE7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297,056 </w:t>
            </w:r>
          </w:p>
        </w:tc>
        <w:tc>
          <w:tcPr>
            <w:tcW w:w="0" w:type="auto"/>
            <w:tcBorders>
              <w:top w:val="nil"/>
              <w:left w:val="nil"/>
              <w:bottom w:val="single" w:sz="8" w:space="0" w:color="auto"/>
              <w:right w:val="nil"/>
            </w:tcBorders>
            <w:shd w:val="clear" w:color="000000" w:fill="FFFFFF"/>
            <w:noWrap/>
            <w:vAlign w:val="center"/>
            <w:hideMark/>
          </w:tcPr>
          <w:p w14:paraId="4E3ACD7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2,469,908 </w:t>
            </w:r>
          </w:p>
        </w:tc>
        <w:tc>
          <w:tcPr>
            <w:tcW w:w="0" w:type="auto"/>
            <w:tcBorders>
              <w:top w:val="nil"/>
              <w:left w:val="nil"/>
              <w:bottom w:val="single" w:sz="8" w:space="0" w:color="auto"/>
              <w:right w:val="nil"/>
            </w:tcBorders>
            <w:shd w:val="clear" w:color="000000" w:fill="FFFFFF"/>
            <w:noWrap/>
            <w:vAlign w:val="center"/>
            <w:hideMark/>
          </w:tcPr>
          <w:p w14:paraId="40EA5B0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79B3DA5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20,078,842 </w:t>
            </w:r>
          </w:p>
        </w:tc>
      </w:tr>
      <w:tr w:rsidR="00937254" w:rsidRPr="00937254" w14:paraId="360AC30A" w14:textId="77777777" w:rsidTr="00937254">
        <w:trPr>
          <w:trHeight w:val="315"/>
        </w:trPr>
        <w:tc>
          <w:tcPr>
            <w:tcW w:w="0" w:type="auto"/>
            <w:tcBorders>
              <w:top w:val="nil"/>
              <w:left w:val="nil"/>
              <w:bottom w:val="nil"/>
              <w:right w:val="nil"/>
            </w:tcBorders>
            <w:shd w:val="clear" w:color="000000" w:fill="FFFFFF"/>
            <w:noWrap/>
            <w:vAlign w:val="center"/>
            <w:hideMark/>
          </w:tcPr>
          <w:p w14:paraId="692EA2D5"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31 July 2020</w:t>
            </w:r>
          </w:p>
        </w:tc>
        <w:tc>
          <w:tcPr>
            <w:tcW w:w="0" w:type="auto"/>
            <w:tcBorders>
              <w:top w:val="nil"/>
              <w:left w:val="nil"/>
              <w:bottom w:val="nil"/>
              <w:right w:val="nil"/>
            </w:tcBorders>
            <w:shd w:val="clear" w:color="000000" w:fill="FFFFFF"/>
            <w:noWrap/>
            <w:vAlign w:val="center"/>
            <w:hideMark/>
          </w:tcPr>
          <w:p w14:paraId="3D29C1E9"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0600DD2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6,603,708 </w:t>
            </w:r>
          </w:p>
        </w:tc>
        <w:tc>
          <w:tcPr>
            <w:tcW w:w="0" w:type="auto"/>
            <w:tcBorders>
              <w:top w:val="nil"/>
              <w:left w:val="nil"/>
              <w:bottom w:val="single" w:sz="8" w:space="0" w:color="auto"/>
              <w:right w:val="nil"/>
            </w:tcBorders>
            <w:shd w:val="clear" w:color="000000" w:fill="FFFFFF"/>
            <w:noWrap/>
            <w:vAlign w:val="center"/>
            <w:hideMark/>
          </w:tcPr>
          <w:p w14:paraId="6A306B3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14,302,133 </w:t>
            </w:r>
          </w:p>
        </w:tc>
        <w:tc>
          <w:tcPr>
            <w:tcW w:w="0" w:type="auto"/>
            <w:tcBorders>
              <w:top w:val="nil"/>
              <w:left w:val="nil"/>
              <w:bottom w:val="single" w:sz="8" w:space="0" w:color="auto"/>
              <w:right w:val="nil"/>
            </w:tcBorders>
            <w:shd w:val="clear" w:color="000000" w:fill="FFFFFF"/>
            <w:noWrap/>
            <w:vAlign w:val="center"/>
            <w:hideMark/>
          </w:tcPr>
          <w:p w14:paraId="5E8E259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238,464 </w:t>
            </w:r>
          </w:p>
        </w:tc>
        <w:tc>
          <w:tcPr>
            <w:tcW w:w="0" w:type="auto"/>
            <w:tcBorders>
              <w:top w:val="nil"/>
              <w:left w:val="nil"/>
              <w:bottom w:val="single" w:sz="8" w:space="0" w:color="auto"/>
              <w:right w:val="nil"/>
            </w:tcBorders>
            <w:shd w:val="clear" w:color="000000" w:fill="FFFFFF"/>
            <w:noWrap/>
            <w:vAlign w:val="center"/>
            <w:hideMark/>
          </w:tcPr>
          <w:p w14:paraId="0E44574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670,520 </w:t>
            </w:r>
          </w:p>
        </w:tc>
        <w:tc>
          <w:tcPr>
            <w:tcW w:w="0" w:type="auto"/>
            <w:tcBorders>
              <w:top w:val="nil"/>
              <w:left w:val="nil"/>
              <w:bottom w:val="single" w:sz="8" w:space="0" w:color="auto"/>
              <w:right w:val="nil"/>
            </w:tcBorders>
            <w:shd w:val="clear" w:color="000000" w:fill="FFFFFF"/>
            <w:noWrap/>
            <w:vAlign w:val="center"/>
            <w:hideMark/>
          </w:tcPr>
          <w:p w14:paraId="6ED47D8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4,816,239 </w:t>
            </w:r>
          </w:p>
        </w:tc>
        <w:tc>
          <w:tcPr>
            <w:tcW w:w="0" w:type="auto"/>
            <w:tcBorders>
              <w:top w:val="nil"/>
              <w:left w:val="nil"/>
              <w:bottom w:val="single" w:sz="8" w:space="0" w:color="auto"/>
              <w:right w:val="nil"/>
            </w:tcBorders>
            <w:shd w:val="clear" w:color="000000" w:fill="FFFFFF"/>
            <w:noWrap/>
            <w:vAlign w:val="center"/>
            <w:hideMark/>
          </w:tcPr>
          <w:p w14:paraId="68E09C3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0BD6446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26,631,064 </w:t>
            </w:r>
          </w:p>
        </w:tc>
      </w:tr>
      <w:tr w:rsidR="00937254" w:rsidRPr="00937254" w14:paraId="02F66B4B" w14:textId="77777777" w:rsidTr="00937254">
        <w:trPr>
          <w:trHeight w:val="300"/>
        </w:trPr>
        <w:tc>
          <w:tcPr>
            <w:tcW w:w="0" w:type="auto"/>
            <w:tcBorders>
              <w:top w:val="nil"/>
              <w:left w:val="nil"/>
              <w:bottom w:val="nil"/>
              <w:right w:val="nil"/>
            </w:tcBorders>
            <w:shd w:val="clear" w:color="000000" w:fill="FFFFFF"/>
            <w:noWrap/>
            <w:vAlign w:val="center"/>
            <w:hideMark/>
          </w:tcPr>
          <w:p w14:paraId="55E92322"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1 August 2020</w:t>
            </w:r>
          </w:p>
        </w:tc>
        <w:tc>
          <w:tcPr>
            <w:tcW w:w="0" w:type="auto"/>
            <w:tcBorders>
              <w:top w:val="nil"/>
              <w:left w:val="nil"/>
              <w:bottom w:val="nil"/>
              <w:right w:val="nil"/>
            </w:tcBorders>
            <w:shd w:val="clear" w:color="000000" w:fill="FFFFFF"/>
            <w:noWrap/>
            <w:vAlign w:val="center"/>
            <w:hideMark/>
          </w:tcPr>
          <w:p w14:paraId="6BF5BAA6"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D06505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6,603,708 </w:t>
            </w:r>
          </w:p>
        </w:tc>
        <w:tc>
          <w:tcPr>
            <w:tcW w:w="0" w:type="auto"/>
            <w:tcBorders>
              <w:top w:val="nil"/>
              <w:left w:val="nil"/>
              <w:bottom w:val="nil"/>
              <w:right w:val="nil"/>
            </w:tcBorders>
            <w:shd w:val="clear" w:color="000000" w:fill="FFFFFF"/>
            <w:noWrap/>
            <w:vAlign w:val="center"/>
            <w:hideMark/>
          </w:tcPr>
          <w:p w14:paraId="0644F1F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14,302,133 </w:t>
            </w:r>
          </w:p>
        </w:tc>
        <w:tc>
          <w:tcPr>
            <w:tcW w:w="0" w:type="auto"/>
            <w:tcBorders>
              <w:top w:val="nil"/>
              <w:left w:val="nil"/>
              <w:bottom w:val="nil"/>
              <w:right w:val="nil"/>
            </w:tcBorders>
            <w:shd w:val="clear" w:color="000000" w:fill="FFFFFF"/>
            <w:noWrap/>
            <w:vAlign w:val="center"/>
            <w:hideMark/>
          </w:tcPr>
          <w:p w14:paraId="1E02B0A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238,464 </w:t>
            </w:r>
          </w:p>
        </w:tc>
        <w:tc>
          <w:tcPr>
            <w:tcW w:w="0" w:type="auto"/>
            <w:tcBorders>
              <w:top w:val="nil"/>
              <w:left w:val="nil"/>
              <w:bottom w:val="nil"/>
              <w:right w:val="nil"/>
            </w:tcBorders>
            <w:shd w:val="clear" w:color="000000" w:fill="FFFFFF"/>
            <w:noWrap/>
            <w:vAlign w:val="center"/>
            <w:hideMark/>
          </w:tcPr>
          <w:p w14:paraId="6840959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670,520 </w:t>
            </w:r>
          </w:p>
        </w:tc>
        <w:tc>
          <w:tcPr>
            <w:tcW w:w="0" w:type="auto"/>
            <w:tcBorders>
              <w:top w:val="nil"/>
              <w:left w:val="nil"/>
              <w:bottom w:val="nil"/>
              <w:right w:val="nil"/>
            </w:tcBorders>
            <w:shd w:val="clear" w:color="000000" w:fill="FFFFFF"/>
            <w:noWrap/>
            <w:vAlign w:val="center"/>
            <w:hideMark/>
          </w:tcPr>
          <w:p w14:paraId="10B6C8C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4,816,239 </w:t>
            </w:r>
          </w:p>
        </w:tc>
        <w:tc>
          <w:tcPr>
            <w:tcW w:w="0" w:type="auto"/>
            <w:tcBorders>
              <w:top w:val="nil"/>
              <w:left w:val="nil"/>
              <w:bottom w:val="nil"/>
              <w:right w:val="nil"/>
            </w:tcBorders>
            <w:shd w:val="clear" w:color="000000" w:fill="FFFFFF"/>
            <w:noWrap/>
            <w:vAlign w:val="center"/>
            <w:hideMark/>
          </w:tcPr>
          <w:p w14:paraId="4F41196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0F77D36B"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26,631,064 </w:t>
            </w:r>
          </w:p>
        </w:tc>
      </w:tr>
      <w:tr w:rsidR="00937254" w:rsidRPr="00937254" w14:paraId="4EE6BF62" w14:textId="77777777" w:rsidTr="00937254">
        <w:trPr>
          <w:trHeight w:val="480"/>
        </w:trPr>
        <w:tc>
          <w:tcPr>
            <w:tcW w:w="0" w:type="auto"/>
            <w:tcBorders>
              <w:top w:val="nil"/>
              <w:left w:val="nil"/>
              <w:bottom w:val="nil"/>
              <w:right w:val="nil"/>
            </w:tcBorders>
            <w:shd w:val="clear" w:color="000000" w:fill="FFFFFF"/>
            <w:vAlign w:val="center"/>
            <w:hideMark/>
          </w:tcPr>
          <w:p w14:paraId="427ED14C"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Revaluation recognised in other comprehensive income</w:t>
            </w:r>
          </w:p>
        </w:tc>
        <w:tc>
          <w:tcPr>
            <w:tcW w:w="0" w:type="auto"/>
            <w:tcBorders>
              <w:top w:val="nil"/>
              <w:left w:val="nil"/>
              <w:bottom w:val="nil"/>
              <w:right w:val="nil"/>
            </w:tcBorders>
            <w:shd w:val="clear" w:color="000000" w:fill="FFFFFF"/>
            <w:noWrap/>
            <w:vAlign w:val="center"/>
            <w:hideMark/>
          </w:tcPr>
          <w:p w14:paraId="16301B2B"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4E8F00D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F1FDEC4" w14:textId="77777777" w:rsidR="00937254" w:rsidRPr="00937254" w:rsidRDefault="00937254" w:rsidP="00937254">
            <w:pPr>
              <w:widowControl/>
              <w:autoSpaceDE/>
              <w:autoSpaceDN/>
              <w:jc w:val="right"/>
              <w:rPr>
                <w:rFonts w:ascii="Arial" w:eastAsia="Times New Roman" w:hAnsi="Arial" w:cs="Arial"/>
                <w:color w:val="008080"/>
                <w:sz w:val="18"/>
                <w:szCs w:val="18"/>
                <w:lang w:bidi="ar-SA"/>
              </w:rPr>
            </w:pPr>
            <w:r w:rsidRPr="00937254">
              <w:rPr>
                <w:rFonts w:ascii="Arial" w:eastAsia="Times New Roman" w:hAnsi="Arial" w:cs="Arial"/>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64B1FAE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1AF3CA9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15AEAAD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8DCBA3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6E1C8F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r>
      <w:tr w:rsidR="00937254" w:rsidRPr="00937254" w14:paraId="6C43A56C" w14:textId="77777777" w:rsidTr="00937254">
        <w:trPr>
          <w:trHeight w:val="300"/>
        </w:trPr>
        <w:tc>
          <w:tcPr>
            <w:tcW w:w="0" w:type="auto"/>
            <w:tcBorders>
              <w:top w:val="nil"/>
              <w:left w:val="nil"/>
              <w:bottom w:val="nil"/>
              <w:right w:val="nil"/>
            </w:tcBorders>
            <w:shd w:val="clear" w:color="000000" w:fill="FFFFFF"/>
            <w:vAlign w:val="center"/>
            <w:hideMark/>
          </w:tcPr>
          <w:p w14:paraId="0548F9EE"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Additions </w:t>
            </w:r>
          </w:p>
        </w:tc>
        <w:tc>
          <w:tcPr>
            <w:tcW w:w="0" w:type="auto"/>
            <w:tcBorders>
              <w:top w:val="nil"/>
              <w:left w:val="nil"/>
              <w:bottom w:val="nil"/>
              <w:right w:val="nil"/>
            </w:tcBorders>
            <w:shd w:val="clear" w:color="000000" w:fill="FFFFFF"/>
            <w:noWrap/>
            <w:vAlign w:val="center"/>
            <w:hideMark/>
          </w:tcPr>
          <w:p w14:paraId="5BA8E571"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97712E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5,342,311 </w:t>
            </w:r>
          </w:p>
        </w:tc>
        <w:tc>
          <w:tcPr>
            <w:tcW w:w="0" w:type="auto"/>
            <w:tcBorders>
              <w:top w:val="nil"/>
              <w:left w:val="nil"/>
              <w:bottom w:val="nil"/>
              <w:right w:val="nil"/>
            </w:tcBorders>
            <w:shd w:val="clear" w:color="auto" w:fill="auto"/>
            <w:noWrap/>
            <w:vAlign w:val="center"/>
            <w:hideMark/>
          </w:tcPr>
          <w:p w14:paraId="681D864E" w14:textId="77777777" w:rsidR="00937254" w:rsidRPr="00937254" w:rsidRDefault="00937254" w:rsidP="00937254">
            <w:pPr>
              <w:widowControl/>
              <w:autoSpaceDE/>
              <w:autoSpaceDN/>
              <w:jc w:val="right"/>
              <w:rPr>
                <w:rFonts w:ascii="Arial" w:eastAsia="Times New Roman" w:hAnsi="Arial" w:cs="Arial"/>
                <w:color w:val="008080"/>
                <w:sz w:val="18"/>
                <w:szCs w:val="18"/>
                <w:lang w:bidi="ar-SA"/>
              </w:rPr>
            </w:pPr>
            <w:r w:rsidRPr="00937254">
              <w:rPr>
                <w:rFonts w:ascii="Arial" w:eastAsia="Times New Roman" w:hAnsi="Arial" w:cs="Arial"/>
                <w:color w:val="008080"/>
                <w:sz w:val="18"/>
                <w:szCs w:val="18"/>
                <w:lang w:bidi="ar-SA"/>
              </w:rPr>
              <w:t xml:space="preserve">                    (235)</w:t>
            </w:r>
          </w:p>
        </w:tc>
        <w:tc>
          <w:tcPr>
            <w:tcW w:w="0" w:type="auto"/>
            <w:tcBorders>
              <w:top w:val="nil"/>
              <w:left w:val="nil"/>
              <w:bottom w:val="nil"/>
              <w:right w:val="nil"/>
            </w:tcBorders>
            <w:shd w:val="clear" w:color="000000" w:fill="FFFFFF"/>
            <w:noWrap/>
            <w:vAlign w:val="center"/>
            <w:hideMark/>
          </w:tcPr>
          <w:p w14:paraId="4FB63C5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35,768 </w:t>
            </w:r>
          </w:p>
        </w:tc>
        <w:tc>
          <w:tcPr>
            <w:tcW w:w="0" w:type="auto"/>
            <w:tcBorders>
              <w:top w:val="nil"/>
              <w:left w:val="nil"/>
              <w:bottom w:val="nil"/>
              <w:right w:val="nil"/>
            </w:tcBorders>
            <w:shd w:val="clear" w:color="000000" w:fill="FFFFFF"/>
            <w:noWrap/>
            <w:vAlign w:val="center"/>
            <w:hideMark/>
          </w:tcPr>
          <w:p w14:paraId="1D36E0C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11,680 </w:t>
            </w:r>
          </w:p>
        </w:tc>
        <w:tc>
          <w:tcPr>
            <w:tcW w:w="0" w:type="auto"/>
            <w:tcBorders>
              <w:top w:val="nil"/>
              <w:left w:val="nil"/>
              <w:bottom w:val="nil"/>
              <w:right w:val="nil"/>
            </w:tcBorders>
            <w:shd w:val="clear" w:color="000000" w:fill="FFFFFF"/>
            <w:noWrap/>
            <w:vAlign w:val="center"/>
            <w:hideMark/>
          </w:tcPr>
          <w:p w14:paraId="5D5A0B1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4,146,931 </w:t>
            </w:r>
          </w:p>
        </w:tc>
        <w:tc>
          <w:tcPr>
            <w:tcW w:w="0" w:type="auto"/>
            <w:tcBorders>
              <w:top w:val="nil"/>
              <w:left w:val="nil"/>
              <w:bottom w:val="nil"/>
              <w:right w:val="nil"/>
            </w:tcBorders>
            <w:shd w:val="clear" w:color="000000" w:fill="FFFFFF"/>
            <w:noWrap/>
            <w:vAlign w:val="center"/>
            <w:hideMark/>
          </w:tcPr>
          <w:p w14:paraId="626807D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3,238,834 </w:t>
            </w:r>
          </w:p>
        </w:tc>
        <w:tc>
          <w:tcPr>
            <w:tcW w:w="0" w:type="auto"/>
            <w:tcBorders>
              <w:top w:val="nil"/>
              <w:left w:val="nil"/>
              <w:bottom w:val="nil"/>
              <w:right w:val="nil"/>
            </w:tcBorders>
            <w:shd w:val="clear" w:color="000000" w:fill="FFFFFF"/>
            <w:noWrap/>
            <w:vAlign w:val="center"/>
            <w:hideMark/>
          </w:tcPr>
          <w:p w14:paraId="4C01631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12,775,288 </w:t>
            </w:r>
          </w:p>
        </w:tc>
      </w:tr>
      <w:tr w:rsidR="00937254" w:rsidRPr="00937254" w14:paraId="525A1C02" w14:textId="77777777" w:rsidTr="00937254">
        <w:trPr>
          <w:trHeight w:val="315"/>
        </w:trPr>
        <w:tc>
          <w:tcPr>
            <w:tcW w:w="0" w:type="auto"/>
            <w:tcBorders>
              <w:top w:val="nil"/>
              <w:left w:val="nil"/>
              <w:bottom w:val="nil"/>
              <w:right w:val="nil"/>
            </w:tcBorders>
            <w:shd w:val="clear" w:color="000000" w:fill="FFFFFF"/>
            <w:noWrap/>
            <w:vAlign w:val="center"/>
            <w:hideMark/>
          </w:tcPr>
          <w:p w14:paraId="7A2E1D49"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Transfer of asset</w:t>
            </w:r>
          </w:p>
        </w:tc>
        <w:tc>
          <w:tcPr>
            <w:tcW w:w="0" w:type="auto"/>
            <w:tcBorders>
              <w:top w:val="nil"/>
              <w:left w:val="nil"/>
              <w:bottom w:val="nil"/>
              <w:right w:val="nil"/>
            </w:tcBorders>
            <w:shd w:val="clear" w:color="000000" w:fill="FFFFFF"/>
            <w:noWrap/>
            <w:vAlign w:val="center"/>
            <w:hideMark/>
          </w:tcPr>
          <w:p w14:paraId="56267FDD"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1E04355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227F7F0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0393EB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7F286A3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(127,683)</w:t>
            </w:r>
          </w:p>
        </w:tc>
        <w:tc>
          <w:tcPr>
            <w:tcW w:w="0" w:type="auto"/>
            <w:tcBorders>
              <w:top w:val="nil"/>
              <w:left w:val="nil"/>
              <w:bottom w:val="single" w:sz="8" w:space="0" w:color="auto"/>
              <w:right w:val="nil"/>
            </w:tcBorders>
            <w:shd w:val="clear" w:color="000000" w:fill="FFFFFF"/>
            <w:noWrap/>
            <w:vAlign w:val="center"/>
            <w:hideMark/>
          </w:tcPr>
          <w:p w14:paraId="4C7EC6F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127,683 </w:t>
            </w:r>
          </w:p>
        </w:tc>
        <w:tc>
          <w:tcPr>
            <w:tcW w:w="0" w:type="auto"/>
            <w:tcBorders>
              <w:top w:val="nil"/>
              <w:left w:val="nil"/>
              <w:bottom w:val="single" w:sz="8" w:space="0" w:color="auto"/>
              <w:right w:val="nil"/>
            </w:tcBorders>
            <w:shd w:val="clear" w:color="000000" w:fill="FFFFFF"/>
            <w:noWrap/>
            <w:vAlign w:val="center"/>
            <w:hideMark/>
          </w:tcPr>
          <w:p w14:paraId="36A40AF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4E45444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r>
      <w:tr w:rsidR="00937254" w:rsidRPr="00937254" w14:paraId="3A83C57F" w14:textId="77777777" w:rsidTr="00937254">
        <w:trPr>
          <w:trHeight w:val="315"/>
        </w:trPr>
        <w:tc>
          <w:tcPr>
            <w:tcW w:w="0" w:type="auto"/>
            <w:tcBorders>
              <w:top w:val="nil"/>
              <w:left w:val="nil"/>
              <w:bottom w:val="nil"/>
              <w:right w:val="nil"/>
            </w:tcBorders>
            <w:shd w:val="clear" w:color="000000" w:fill="FFFFFF"/>
            <w:noWrap/>
            <w:vAlign w:val="center"/>
            <w:hideMark/>
          </w:tcPr>
          <w:p w14:paraId="65F150FD"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At 31 July 2021</w:t>
            </w:r>
          </w:p>
        </w:tc>
        <w:tc>
          <w:tcPr>
            <w:tcW w:w="0" w:type="auto"/>
            <w:tcBorders>
              <w:top w:val="nil"/>
              <w:left w:val="nil"/>
              <w:bottom w:val="nil"/>
              <w:right w:val="nil"/>
            </w:tcBorders>
            <w:shd w:val="clear" w:color="000000" w:fill="FFFFFF"/>
            <w:noWrap/>
            <w:vAlign w:val="center"/>
            <w:hideMark/>
          </w:tcPr>
          <w:p w14:paraId="75BCF90F"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6DABBE0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11,946,019 </w:t>
            </w:r>
          </w:p>
        </w:tc>
        <w:tc>
          <w:tcPr>
            <w:tcW w:w="0" w:type="auto"/>
            <w:tcBorders>
              <w:top w:val="nil"/>
              <w:left w:val="nil"/>
              <w:bottom w:val="single" w:sz="8" w:space="0" w:color="auto"/>
              <w:right w:val="nil"/>
            </w:tcBorders>
            <w:shd w:val="clear" w:color="000000" w:fill="FFFFFF"/>
            <w:noWrap/>
            <w:vAlign w:val="center"/>
            <w:hideMark/>
          </w:tcPr>
          <w:p w14:paraId="70A58C2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14,301,898 </w:t>
            </w:r>
          </w:p>
        </w:tc>
        <w:tc>
          <w:tcPr>
            <w:tcW w:w="0" w:type="auto"/>
            <w:tcBorders>
              <w:top w:val="nil"/>
              <w:left w:val="nil"/>
              <w:bottom w:val="single" w:sz="8" w:space="0" w:color="auto"/>
              <w:right w:val="nil"/>
            </w:tcBorders>
            <w:shd w:val="clear" w:color="000000" w:fill="FFFFFF"/>
            <w:noWrap/>
            <w:vAlign w:val="center"/>
            <w:hideMark/>
          </w:tcPr>
          <w:p w14:paraId="19FF636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274,232 </w:t>
            </w:r>
          </w:p>
        </w:tc>
        <w:tc>
          <w:tcPr>
            <w:tcW w:w="0" w:type="auto"/>
            <w:tcBorders>
              <w:top w:val="nil"/>
              <w:left w:val="nil"/>
              <w:bottom w:val="single" w:sz="8" w:space="0" w:color="auto"/>
              <w:right w:val="nil"/>
            </w:tcBorders>
            <w:shd w:val="clear" w:color="000000" w:fill="FFFFFF"/>
            <w:noWrap/>
            <w:vAlign w:val="center"/>
            <w:hideMark/>
          </w:tcPr>
          <w:p w14:paraId="7595442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554,517 </w:t>
            </w:r>
          </w:p>
        </w:tc>
        <w:tc>
          <w:tcPr>
            <w:tcW w:w="0" w:type="auto"/>
            <w:tcBorders>
              <w:top w:val="nil"/>
              <w:left w:val="nil"/>
              <w:bottom w:val="single" w:sz="8" w:space="0" w:color="auto"/>
              <w:right w:val="nil"/>
            </w:tcBorders>
            <w:shd w:val="clear" w:color="000000" w:fill="FFFFFF"/>
            <w:noWrap/>
            <w:vAlign w:val="center"/>
            <w:hideMark/>
          </w:tcPr>
          <w:p w14:paraId="7A646EE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9,090,853 </w:t>
            </w:r>
          </w:p>
        </w:tc>
        <w:tc>
          <w:tcPr>
            <w:tcW w:w="0" w:type="auto"/>
            <w:tcBorders>
              <w:top w:val="nil"/>
              <w:left w:val="nil"/>
              <w:bottom w:val="single" w:sz="8" w:space="0" w:color="auto"/>
              <w:right w:val="nil"/>
            </w:tcBorders>
            <w:shd w:val="clear" w:color="000000" w:fill="FFFFFF"/>
            <w:noWrap/>
            <w:vAlign w:val="center"/>
            <w:hideMark/>
          </w:tcPr>
          <w:p w14:paraId="7A003D2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3,238,834 </w:t>
            </w:r>
          </w:p>
        </w:tc>
        <w:tc>
          <w:tcPr>
            <w:tcW w:w="0" w:type="auto"/>
            <w:tcBorders>
              <w:top w:val="nil"/>
              <w:left w:val="nil"/>
              <w:bottom w:val="single" w:sz="8" w:space="0" w:color="auto"/>
              <w:right w:val="nil"/>
            </w:tcBorders>
            <w:shd w:val="clear" w:color="000000" w:fill="FFFFFF"/>
            <w:noWrap/>
            <w:vAlign w:val="center"/>
            <w:hideMark/>
          </w:tcPr>
          <w:p w14:paraId="7637173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39,406,352 </w:t>
            </w:r>
          </w:p>
        </w:tc>
      </w:tr>
      <w:tr w:rsidR="00937254" w:rsidRPr="00937254" w14:paraId="5668630D" w14:textId="77777777" w:rsidTr="00937254">
        <w:trPr>
          <w:trHeight w:val="300"/>
        </w:trPr>
        <w:tc>
          <w:tcPr>
            <w:tcW w:w="0" w:type="auto"/>
            <w:tcBorders>
              <w:top w:val="nil"/>
              <w:left w:val="nil"/>
              <w:bottom w:val="nil"/>
              <w:right w:val="nil"/>
            </w:tcBorders>
            <w:shd w:val="clear" w:color="000000" w:fill="FFFFFF"/>
            <w:noWrap/>
            <w:vAlign w:val="center"/>
            <w:hideMark/>
          </w:tcPr>
          <w:p w14:paraId="6C3C6B7B" w14:textId="77777777" w:rsidR="00937254" w:rsidRPr="00937254" w:rsidRDefault="00937254" w:rsidP="00937254">
            <w:pPr>
              <w:widowControl/>
              <w:autoSpaceDE/>
              <w:autoSpaceDN/>
              <w:rPr>
                <w:rFonts w:ascii="Arial" w:eastAsia="Times New Roman" w:hAnsi="Arial" w:cs="Arial"/>
                <w:b/>
                <w:bCs/>
                <w:sz w:val="18"/>
                <w:szCs w:val="18"/>
                <w:u w:val="single"/>
                <w:lang w:bidi="ar-SA"/>
              </w:rPr>
            </w:pPr>
            <w:r w:rsidRPr="00937254">
              <w:rPr>
                <w:rFonts w:ascii="Arial" w:eastAsia="Times New Roman" w:hAnsi="Arial" w:cs="Arial"/>
                <w:b/>
                <w:bCs/>
                <w:sz w:val="18"/>
                <w:szCs w:val="18"/>
                <w:u w:val="single"/>
                <w:lang w:bidi="ar-SA"/>
              </w:rPr>
              <w:t>Depreciation</w:t>
            </w:r>
          </w:p>
        </w:tc>
        <w:tc>
          <w:tcPr>
            <w:tcW w:w="0" w:type="auto"/>
            <w:tcBorders>
              <w:top w:val="nil"/>
              <w:left w:val="nil"/>
              <w:bottom w:val="nil"/>
              <w:right w:val="nil"/>
            </w:tcBorders>
            <w:shd w:val="clear" w:color="000000" w:fill="FFFFFF"/>
            <w:noWrap/>
            <w:vAlign w:val="center"/>
            <w:hideMark/>
          </w:tcPr>
          <w:p w14:paraId="64F43F6C"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09320840"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5F7335F2"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61E975AE"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54547C36"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482E01F4"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280DBB6B"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31DBC02E"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r>
      <w:tr w:rsidR="00937254" w:rsidRPr="00937254" w14:paraId="4FDF8A00" w14:textId="77777777" w:rsidTr="00937254">
        <w:trPr>
          <w:trHeight w:val="300"/>
        </w:trPr>
        <w:tc>
          <w:tcPr>
            <w:tcW w:w="0" w:type="auto"/>
            <w:tcBorders>
              <w:top w:val="nil"/>
              <w:left w:val="nil"/>
              <w:bottom w:val="nil"/>
              <w:right w:val="nil"/>
            </w:tcBorders>
            <w:shd w:val="clear" w:color="000000" w:fill="FFFFFF"/>
            <w:noWrap/>
            <w:vAlign w:val="center"/>
            <w:hideMark/>
          </w:tcPr>
          <w:p w14:paraId="7DACC85B"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1 August 2019</w:t>
            </w:r>
          </w:p>
        </w:tc>
        <w:tc>
          <w:tcPr>
            <w:tcW w:w="0" w:type="auto"/>
            <w:tcBorders>
              <w:top w:val="nil"/>
              <w:left w:val="nil"/>
              <w:bottom w:val="nil"/>
              <w:right w:val="nil"/>
            </w:tcBorders>
            <w:shd w:val="clear" w:color="000000" w:fill="FFFFFF"/>
            <w:noWrap/>
            <w:vAlign w:val="center"/>
            <w:hideMark/>
          </w:tcPr>
          <w:p w14:paraId="688F34B5"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58E5E21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061F5A2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BD192A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892 </w:t>
            </w:r>
          </w:p>
        </w:tc>
        <w:tc>
          <w:tcPr>
            <w:tcW w:w="0" w:type="auto"/>
            <w:tcBorders>
              <w:top w:val="nil"/>
              <w:left w:val="nil"/>
              <w:bottom w:val="nil"/>
              <w:right w:val="nil"/>
            </w:tcBorders>
            <w:shd w:val="clear" w:color="000000" w:fill="FFFFFF"/>
            <w:noWrap/>
            <w:vAlign w:val="center"/>
            <w:hideMark/>
          </w:tcPr>
          <w:p w14:paraId="31F41BB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7CD8D9E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62D691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37263582"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892 </w:t>
            </w:r>
          </w:p>
        </w:tc>
      </w:tr>
      <w:tr w:rsidR="00937254" w:rsidRPr="00937254" w14:paraId="79E7B4E1" w14:textId="77777777" w:rsidTr="00937254">
        <w:trPr>
          <w:trHeight w:val="315"/>
        </w:trPr>
        <w:tc>
          <w:tcPr>
            <w:tcW w:w="0" w:type="auto"/>
            <w:tcBorders>
              <w:top w:val="nil"/>
              <w:left w:val="nil"/>
              <w:bottom w:val="nil"/>
              <w:right w:val="nil"/>
            </w:tcBorders>
            <w:shd w:val="clear" w:color="000000" w:fill="FFFFFF"/>
            <w:noWrap/>
            <w:vAlign w:val="center"/>
            <w:hideMark/>
          </w:tcPr>
          <w:p w14:paraId="4DBE10AB"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Charge for year</w:t>
            </w:r>
          </w:p>
        </w:tc>
        <w:tc>
          <w:tcPr>
            <w:tcW w:w="0" w:type="auto"/>
            <w:tcBorders>
              <w:top w:val="nil"/>
              <w:left w:val="nil"/>
              <w:bottom w:val="nil"/>
              <w:right w:val="nil"/>
            </w:tcBorders>
            <w:shd w:val="clear" w:color="000000" w:fill="FFFFFF"/>
            <w:noWrap/>
            <w:vAlign w:val="center"/>
            <w:hideMark/>
          </w:tcPr>
          <w:p w14:paraId="0F9254D4"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7BCD014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276,050 </w:t>
            </w:r>
          </w:p>
        </w:tc>
        <w:tc>
          <w:tcPr>
            <w:tcW w:w="0" w:type="auto"/>
            <w:tcBorders>
              <w:top w:val="nil"/>
              <w:left w:val="nil"/>
              <w:bottom w:val="single" w:sz="8" w:space="0" w:color="auto"/>
              <w:right w:val="nil"/>
            </w:tcBorders>
            <w:shd w:val="clear" w:color="000000" w:fill="FFFFFF"/>
            <w:noWrap/>
            <w:vAlign w:val="center"/>
            <w:hideMark/>
          </w:tcPr>
          <w:p w14:paraId="02B7372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283,616 </w:t>
            </w:r>
          </w:p>
        </w:tc>
        <w:tc>
          <w:tcPr>
            <w:tcW w:w="0" w:type="auto"/>
            <w:tcBorders>
              <w:top w:val="nil"/>
              <w:left w:val="nil"/>
              <w:bottom w:val="single" w:sz="8" w:space="0" w:color="auto"/>
              <w:right w:val="nil"/>
            </w:tcBorders>
            <w:shd w:val="clear" w:color="000000" w:fill="FFFFFF"/>
            <w:noWrap/>
            <w:vAlign w:val="center"/>
            <w:hideMark/>
          </w:tcPr>
          <w:p w14:paraId="49CC4AF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62,974 </w:t>
            </w:r>
          </w:p>
        </w:tc>
        <w:tc>
          <w:tcPr>
            <w:tcW w:w="0" w:type="auto"/>
            <w:tcBorders>
              <w:top w:val="nil"/>
              <w:left w:val="nil"/>
              <w:bottom w:val="single" w:sz="8" w:space="0" w:color="auto"/>
              <w:right w:val="nil"/>
            </w:tcBorders>
            <w:shd w:val="clear" w:color="000000" w:fill="FFFFFF"/>
            <w:noWrap/>
            <w:vAlign w:val="center"/>
            <w:hideMark/>
          </w:tcPr>
          <w:p w14:paraId="3D6466C8"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55,478 </w:t>
            </w:r>
          </w:p>
        </w:tc>
        <w:tc>
          <w:tcPr>
            <w:tcW w:w="0" w:type="auto"/>
            <w:tcBorders>
              <w:top w:val="nil"/>
              <w:left w:val="nil"/>
              <w:bottom w:val="single" w:sz="8" w:space="0" w:color="auto"/>
              <w:right w:val="nil"/>
            </w:tcBorders>
            <w:shd w:val="clear" w:color="000000" w:fill="FFFFFF"/>
            <w:noWrap/>
            <w:vAlign w:val="center"/>
            <w:hideMark/>
          </w:tcPr>
          <w:p w14:paraId="4FC7E5F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544,283 </w:t>
            </w:r>
          </w:p>
        </w:tc>
        <w:tc>
          <w:tcPr>
            <w:tcW w:w="0" w:type="auto"/>
            <w:tcBorders>
              <w:top w:val="nil"/>
              <w:left w:val="nil"/>
              <w:bottom w:val="single" w:sz="8" w:space="0" w:color="auto"/>
              <w:right w:val="nil"/>
            </w:tcBorders>
            <w:shd w:val="clear" w:color="000000" w:fill="FFFFFF"/>
            <w:noWrap/>
            <w:vAlign w:val="center"/>
            <w:hideMark/>
          </w:tcPr>
          <w:p w14:paraId="42CE105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7656C59B"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1,222,401 </w:t>
            </w:r>
          </w:p>
        </w:tc>
      </w:tr>
      <w:tr w:rsidR="00937254" w:rsidRPr="00937254" w14:paraId="4FD4FD3C" w14:textId="77777777" w:rsidTr="00937254">
        <w:trPr>
          <w:trHeight w:val="315"/>
        </w:trPr>
        <w:tc>
          <w:tcPr>
            <w:tcW w:w="0" w:type="auto"/>
            <w:tcBorders>
              <w:top w:val="nil"/>
              <w:left w:val="nil"/>
              <w:bottom w:val="nil"/>
              <w:right w:val="nil"/>
            </w:tcBorders>
            <w:shd w:val="clear" w:color="000000" w:fill="FFFFFF"/>
            <w:noWrap/>
            <w:vAlign w:val="center"/>
            <w:hideMark/>
          </w:tcPr>
          <w:p w14:paraId="49131965"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31 July 2020</w:t>
            </w:r>
          </w:p>
        </w:tc>
        <w:tc>
          <w:tcPr>
            <w:tcW w:w="0" w:type="auto"/>
            <w:tcBorders>
              <w:top w:val="nil"/>
              <w:left w:val="nil"/>
              <w:bottom w:val="nil"/>
              <w:right w:val="nil"/>
            </w:tcBorders>
            <w:shd w:val="clear" w:color="000000" w:fill="FFFFFF"/>
            <w:noWrap/>
            <w:vAlign w:val="center"/>
            <w:hideMark/>
          </w:tcPr>
          <w:p w14:paraId="7CC202B1"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39EE39A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276,050 </w:t>
            </w:r>
          </w:p>
        </w:tc>
        <w:tc>
          <w:tcPr>
            <w:tcW w:w="0" w:type="auto"/>
            <w:tcBorders>
              <w:top w:val="nil"/>
              <w:left w:val="nil"/>
              <w:bottom w:val="single" w:sz="8" w:space="0" w:color="auto"/>
              <w:right w:val="nil"/>
            </w:tcBorders>
            <w:shd w:val="clear" w:color="000000" w:fill="FFFFFF"/>
            <w:noWrap/>
            <w:vAlign w:val="center"/>
            <w:hideMark/>
          </w:tcPr>
          <w:p w14:paraId="0327D24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283,616 </w:t>
            </w:r>
          </w:p>
        </w:tc>
        <w:tc>
          <w:tcPr>
            <w:tcW w:w="0" w:type="auto"/>
            <w:tcBorders>
              <w:top w:val="nil"/>
              <w:left w:val="nil"/>
              <w:bottom w:val="single" w:sz="8" w:space="0" w:color="auto"/>
              <w:right w:val="nil"/>
            </w:tcBorders>
            <w:shd w:val="clear" w:color="000000" w:fill="FFFFFF"/>
            <w:noWrap/>
            <w:vAlign w:val="center"/>
            <w:hideMark/>
          </w:tcPr>
          <w:p w14:paraId="29BBCB1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63,866 </w:t>
            </w:r>
          </w:p>
        </w:tc>
        <w:tc>
          <w:tcPr>
            <w:tcW w:w="0" w:type="auto"/>
            <w:tcBorders>
              <w:top w:val="nil"/>
              <w:left w:val="nil"/>
              <w:bottom w:val="single" w:sz="8" w:space="0" w:color="auto"/>
              <w:right w:val="nil"/>
            </w:tcBorders>
            <w:shd w:val="clear" w:color="000000" w:fill="FFFFFF"/>
            <w:noWrap/>
            <w:vAlign w:val="center"/>
            <w:hideMark/>
          </w:tcPr>
          <w:p w14:paraId="246BC3A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55,478 </w:t>
            </w:r>
          </w:p>
        </w:tc>
        <w:tc>
          <w:tcPr>
            <w:tcW w:w="0" w:type="auto"/>
            <w:tcBorders>
              <w:top w:val="nil"/>
              <w:left w:val="nil"/>
              <w:bottom w:val="single" w:sz="8" w:space="0" w:color="auto"/>
              <w:right w:val="nil"/>
            </w:tcBorders>
            <w:shd w:val="clear" w:color="000000" w:fill="FFFFFF"/>
            <w:noWrap/>
            <w:vAlign w:val="center"/>
            <w:hideMark/>
          </w:tcPr>
          <w:p w14:paraId="553E677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544,283 </w:t>
            </w:r>
          </w:p>
        </w:tc>
        <w:tc>
          <w:tcPr>
            <w:tcW w:w="0" w:type="auto"/>
            <w:tcBorders>
              <w:top w:val="nil"/>
              <w:left w:val="nil"/>
              <w:bottom w:val="single" w:sz="8" w:space="0" w:color="auto"/>
              <w:right w:val="nil"/>
            </w:tcBorders>
            <w:shd w:val="clear" w:color="000000" w:fill="FFFFFF"/>
            <w:noWrap/>
            <w:vAlign w:val="center"/>
            <w:hideMark/>
          </w:tcPr>
          <w:p w14:paraId="5613183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3595D33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1,223,293 </w:t>
            </w:r>
          </w:p>
        </w:tc>
      </w:tr>
      <w:tr w:rsidR="00937254" w:rsidRPr="00937254" w14:paraId="04CB8317" w14:textId="77777777" w:rsidTr="00937254">
        <w:trPr>
          <w:trHeight w:val="300"/>
        </w:trPr>
        <w:tc>
          <w:tcPr>
            <w:tcW w:w="0" w:type="auto"/>
            <w:tcBorders>
              <w:top w:val="nil"/>
              <w:left w:val="nil"/>
              <w:bottom w:val="nil"/>
              <w:right w:val="nil"/>
            </w:tcBorders>
            <w:shd w:val="clear" w:color="000000" w:fill="FFFFFF"/>
            <w:noWrap/>
            <w:vAlign w:val="center"/>
            <w:hideMark/>
          </w:tcPr>
          <w:p w14:paraId="3903C43C"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At 1 August 2020</w:t>
            </w:r>
          </w:p>
        </w:tc>
        <w:tc>
          <w:tcPr>
            <w:tcW w:w="0" w:type="auto"/>
            <w:tcBorders>
              <w:top w:val="nil"/>
              <w:left w:val="nil"/>
              <w:bottom w:val="nil"/>
              <w:right w:val="nil"/>
            </w:tcBorders>
            <w:shd w:val="clear" w:color="000000" w:fill="FFFFFF"/>
            <w:noWrap/>
            <w:vAlign w:val="center"/>
            <w:hideMark/>
          </w:tcPr>
          <w:p w14:paraId="608BF8AD"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74CFFE9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276,050 </w:t>
            </w:r>
          </w:p>
        </w:tc>
        <w:tc>
          <w:tcPr>
            <w:tcW w:w="0" w:type="auto"/>
            <w:tcBorders>
              <w:top w:val="nil"/>
              <w:left w:val="nil"/>
              <w:bottom w:val="nil"/>
              <w:right w:val="nil"/>
            </w:tcBorders>
            <w:shd w:val="clear" w:color="000000" w:fill="FFFFFF"/>
            <w:noWrap/>
            <w:vAlign w:val="center"/>
            <w:hideMark/>
          </w:tcPr>
          <w:p w14:paraId="6A67608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283,616 </w:t>
            </w:r>
          </w:p>
        </w:tc>
        <w:tc>
          <w:tcPr>
            <w:tcW w:w="0" w:type="auto"/>
            <w:tcBorders>
              <w:top w:val="nil"/>
              <w:left w:val="nil"/>
              <w:bottom w:val="nil"/>
              <w:right w:val="nil"/>
            </w:tcBorders>
            <w:shd w:val="clear" w:color="000000" w:fill="FFFFFF"/>
            <w:noWrap/>
            <w:vAlign w:val="center"/>
            <w:hideMark/>
          </w:tcPr>
          <w:p w14:paraId="1AEE8A7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63,866 </w:t>
            </w:r>
          </w:p>
        </w:tc>
        <w:tc>
          <w:tcPr>
            <w:tcW w:w="0" w:type="auto"/>
            <w:tcBorders>
              <w:top w:val="nil"/>
              <w:left w:val="nil"/>
              <w:bottom w:val="nil"/>
              <w:right w:val="nil"/>
            </w:tcBorders>
            <w:shd w:val="clear" w:color="000000" w:fill="FFFFFF"/>
            <w:noWrap/>
            <w:vAlign w:val="center"/>
            <w:hideMark/>
          </w:tcPr>
          <w:p w14:paraId="4C438B6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55,478 </w:t>
            </w:r>
          </w:p>
        </w:tc>
        <w:tc>
          <w:tcPr>
            <w:tcW w:w="0" w:type="auto"/>
            <w:tcBorders>
              <w:top w:val="nil"/>
              <w:left w:val="nil"/>
              <w:bottom w:val="nil"/>
              <w:right w:val="nil"/>
            </w:tcBorders>
            <w:shd w:val="clear" w:color="000000" w:fill="FFFFFF"/>
            <w:noWrap/>
            <w:vAlign w:val="center"/>
            <w:hideMark/>
          </w:tcPr>
          <w:p w14:paraId="56484F9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544,283 </w:t>
            </w:r>
          </w:p>
        </w:tc>
        <w:tc>
          <w:tcPr>
            <w:tcW w:w="0" w:type="auto"/>
            <w:tcBorders>
              <w:top w:val="nil"/>
              <w:left w:val="nil"/>
              <w:bottom w:val="nil"/>
              <w:right w:val="nil"/>
            </w:tcBorders>
            <w:shd w:val="clear" w:color="000000" w:fill="FFFFFF"/>
            <w:noWrap/>
            <w:vAlign w:val="center"/>
            <w:hideMark/>
          </w:tcPr>
          <w:p w14:paraId="2F21B41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3B06893B"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1,223,293 </w:t>
            </w:r>
          </w:p>
        </w:tc>
      </w:tr>
      <w:tr w:rsidR="00937254" w:rsidRPr="00937254" w14:paraId="6837B3AC" w14:textId="77777777" w:rsidTr="00937254">
        <w:trPr>
          <w:trHeight w:val="315"/>
        </w:trPr>
        <w:tc>
          <w:tcPr>
            <w:tcW w:w="0" w:type="auto"/>
            <w:tcBorders>
              <w:top w:val="nil"/>
              <w:left w:val="nil"/>
              <w:bottom w:val="nil"/>
              <w:right w:val="nil"/>
            </w:tcBorders>
            <w:shd w:val="clear" w:color="000000" w:fill="FFFFFF"/>
            <w:noWrap/>
            <w:vAlign w:val="center"/>
            <w:hideMark/>
          </w:tcPr>
          <w:p w14:paraId="0E70B6FD"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Transfer of asset</w:t>
            </w:r>
          </w:p>
        </w:tc>
        <w:tc>
          <w:tcPr>
            <w:tcW w:w="0" w:type="auto"/>
            <w:tcBorders>
              <w:top w:val="nil"/>
              <w:left w:val="nil"/>
              <w:bottom w:val="nil"/>
              <w:right w:val="nil"/>
            </w:tcBorders>
            <w:shd w:val="clear" w:color="auto" w:fill="auto"/>
            <w:noWrap/>
            <w:vAlign w:val="bottom"/>
            <w:hideMark/>
          </w:tcPr>
          <w:p w14:paraId="1528D324" w14:textId="77777777" w:rsidR="00937254" w:rsidRPr="00937254" w:rsidRDefault="00937254" w:rsidP="00937254">
            <w:pPr>
              <w:widowControl/>
              <w:autoSpaceDE/>
              <w:autoSpaceDN/>
              <w:rPr>
                <w:rFonts w:ascii="Arial" w:eastAsia="Times New Roman" w:hAnsi="Arial" w:cs="Arial"/>
                <w:sz w:val="18"/>
                <w:szCs w:val="18"/>
                <w:lang w:bidi="ar-SA"/>
              </w:rPr>
            </w:pPr>
          </w:p>
        </w:tc>
        <w:tc>
          <w:tcPr>
            <w:tcW w:w="0" w:type="auto"/>
            <w:tcBorders>
              <w:top w:val="nil"/>
              <w:left w:val="nil"/>
              <w:bottom w:val="nil"/>
              <w:right w:val="nil"/>
            </w:tcBorders>
            <w:shd w:val="clear" w:color="000000" w:fill="FFFFFF"/>
            <w:noWrap/>
            <w:vAlign w:val="center"/>
            <w:hideMark/>
          </w:tcPr>
          <w:p w14:paraId="5A38CDA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5035E3F2"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3E768CD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nil"/>
              <w:right w:val="nil"/>
            </w:tcBorders>
            <w:shd w:val="clear" w:color="000000" w:fill="FFFFFF"/>
            <w:noWrap/>
            <w:vAlign w:val="center"/>
            <w:hideMark/>
          </w:tcPr>
          <w:p w14:paraId="6504CF7E"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(16,750)</w:t>
            </w:r>
          </w:p>
        </w:tc>
        <w:tc>
          <w:tcPr>
            <w:tcW w:w="0" w:type="auto"/>
            <w:tcBorders>
              <w:top w:val="nil"/>
              <w:left w:val="nil"/>
              <w:bottom w:val="nil"/>
              <w:right w:val="nil"/>
            </w:tcBorders>
            <w:shd w:val="clear" w:color="000000" w:fill="FFFFFF"/>
            <w:noWrap/>
            <w:vAlign w:val="center"/>
            <w:hideMark/>
          </w:tcPr>
          <w:p w14:paraId="0498FD0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16,750 </w:t>
            </w:r>
          </w:p>
        </w:tc>
        <w:tc>
          <w:tcPr>
            <w:tcW w:w="0" w:type="auto"/>
            <w:tcBorders>
              <w:top w:val="nil"/>
              <w:left w:val="nil"/>
              <w:bottom w:val="nil"/>
              <w:right w:val="nil"/>
            </w:tcBorders>
            <w:shd w:val="clear" w:color="000000" w:fill="FFFFFF"/>
            <w:noWrap/>
            <w:vAlign w:val="center"/>
            <w:hideMark/>
          </w:tcPr>
          <w:p w14:paraId="7C2EB5E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nil"/>
              <w:right w:val="nil"/>
            </w:tcBorders>
            <w:shd w:val="clear" w:color="000000" w:fill="FFFFFF"/>
            <w:noWrap/>
            <w:vAlign w:val="center"/>
            <w:hideMark/>
          </w:tcPr>
          <w:p w14:paraId="27043A2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r>
      <w:tr w:rsidR="00937254" w:rsidRPr="00937254" w14:paraId="7806CA51" w14:textId="77777777" w:rsidTr="00937254">
        <w:trPr>
          <w:trHeight w:val="315"/>
        </w:trPr>
        <w:tc>
          <w:tcPr>
            <w:tcW w:w="0" w:type="auto"/>
            <w:tcBorders>
              <w:top w:val="nil"/>
              <w:left w:val="nil"/>
              <w:bottom w:val="nil"/>
              <w:right w:val="nil"/>
            </w:tcBorders>
            <w:shd w:val="clear" w:color="000000" w:fill="FFFFFF"/>
            <w:noWrap/>
            <w:vAlign w:val="center"/>
            <w:hideMark/>
          </w:tcPr>
          <w:p w14:paraId="3BF4AE98" w14:textId="77777777" w:rsidR="00937254" w:rsidRPr="00937254" w:rsidRDefault="00937254" w:rsidP="00937254">
            <w:pPr>
              <w:widowControl/>
              <w:autoSpaceDE/>
              <w:autoSpaceDN/>
              <w:rPr>
                <w:rFonts w:ascii="Arial" w:eastAsia="Times New Roman" w:hAnsi="Arial" w:cs="Arial"/>
                <w:sz w:val="18"/>
                <w:szCs w:val="18"/>
                <w:lang w:bidi="ar-SA"/>
              </w:rPr>
            </w:pPr>
            <w:r w:rsidRPr="00937254">
              <w:rPr>
                <w:rFonts w:ascii="Arial" w:eastAsia="Times New Roman" w:hAnsi="Arial" w:cs="Arial"/>
                <w:sz w:val="18"/>
                <w:szCs w:val="18"/>
                <w:lang w:bidi="ar-SA"/>
              </w:rPr>
              <w:t>Charge for the period</w:t>
            </w:r>
          </w:p>
        </w:tc>
        <w:tc>
          <w:tcPr>
            <w:tcW w:w="0" w:type="auto"/>
            <w:tcBorders>
              <w:top w:val="nil"/>
              <w:left w:val="nil"/>
              <w:bottom w:val="nil"/>
              <w:right w:val="nil"/>
            </w:tcBorders>
            <w:shd w:val="clear" w:color="000000" w:fill="FFFFFF"/>
            <w:noWrap/>
            <w:vAlign w:val="center"/>
            <w:hideMark/>
          </w:tcPr>
          <w:p w14:paraId="34DAC048"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470F537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427,687 </w:t>
            </w:r>
          </w:p>
        </w:tc>
        <w:tc>
          <w:tcPr>
            <w:tcW w:w="0" w:type="auto"/>
            <w:tcBorders>
              <w:top w:val="nil"/>
              <w:left w:val="nil"/>
              <w:bottom w:val="single" w:sz="8" w:space="0" w:color="auto"/>
              <w:right w:val="nil"/>
            </w:tcBorders>
            <w:shd w:val="clear" w:color="000000" w:fill="FFFFFF"/>
            <w:noWrap/>
            <w:vAlign w:val="center"/>
            <w:hideMark/>
          </w:tcPr>
          <w:p w14:paraId="3200BBE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750,061 </w:t>
            </w:r>
          </w:p>
        </w:tc>
        <w:tc>
          <w:tcPr>
            <w:tcW w:w="0" w:type="auto"/>
            <w:tcBorders>
              <w:top w:val="nil"/>
              <w:left w:val="nil"/>
              <w:bottom w:val="single" w:sz="8" w:space="0" w:color="auto"/>
              <w:right w:val="nil"/>
            </w:tcBorders>
            <w:shd w:val="clear" w:color="000000" w:fill="FFFFFF"/>
            <w:noWrap/>
            <w:vAlign w:val="center"/>
            <w:hideMark/>
          </w:tcPr>
          <w:p w14:paraId="6134E94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42,914 </w:t>
            </w:r>
          </w:p>
        </w:tc>
        <w:tc>
          <w:tcPr>
            <w:tcW w:w="0" w:type="auto"/>
            <w:tcBorders>
              <w:top w:val="nil"/>
              <w:left w:val="nil"/>
              <w:bottom w:val="single" w:sz="8" w:space="0" w:color="auto"/>
              <w:right w:val="nil"/>
            </w:tcBorders>
            <w:shd w:val="clear" w:color="auto" w:fill="auto"/>
            <w:noWrap/>
            <w:vAlign w:val="center"/>
            <w:hideMark/>
          </w:tcPr>
          <w:p w14:paraId="45E52AC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56,743 </w:t>
            </w:r>
          </w:p>
        </w:tc>
        <w:tc>
          <w:tcPr>
            <w:tcW w:w="0" w:type="auto"/>
            <w:tcBorders>
              <w:top w:val="nil"/>
              <w:left w:val="nil"/>
              <w:bottom w:val="single" w:sz="8" w:space="0" w:color="auto"/>
              <w:right w:val="nil"/>
            </w:tcBorders>
            <w:shd w:val="clear" w:color="auto" w:fill="auto"/>
            <w:noWrap/>
            <w:vAlign w:val="center"/>
            <w:hideMark/>
          </w:tcPr>
          <w:p w14:paraId="03A69E56"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1,046,172 </w:t>
            </w:r>
          </w:p>
        </w:tc>
        <w:tc>
          <w:tcPr>
            <w:tcW w:w="0" w:type="auto"/>
            <w:tcBorders>
              <w:top w:val="nil"/>
              <w:left w:val="nil"/>
              <w:bottom w:val="single" w:sz="8" w:space="0" w:color="auto"/>
              <w:right w:val="nil"/>
            </w:tcBorders>
            <w:shd w:val="clear" w:color="auto" w:fill="auto"/>
            <w:noWrap/>
            <w:vAlign w:val="center"/>
            <w:hideMark/>
          </w:tcPr>
          <w:p w14:paraId="2A1509C2"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04241A0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2,323,577 </w:t>
            </w:r>
          </w:p>
        </w:tc>
      </w:tr>
      <w:tr w:rsidR="00937254" w:rsidRPr="00937254" w14:paraId="3D962BA2" w14:textId="77777777" w:rsidTr="00937254">
        <w:trPr>
          <w:trHeight w:val="315"/>
        </w:trPr>
        <w:tc>
          <w:tcPr>
            <w:tcW w:w="0" w:type="auto"/>
            <w:tcBorders>
              <w:top w:val="nil"/>
              <w:left w:val="nil"/>
              <w:bottom w:val="nil"/>
              <w:right w:val="nil"/>
            </w:tcBorders>
            <w:shd w:val="clear" w:color="000000" w:fill="FFFFFF"/>
            <w:noWrap/>
            <w:vAlign w:val="center"/>
            <w:hideMark/>
          </w:tcPr>
          <w:p w14:paraId="378C6E7A"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At 31 July 2021</w:t>
            </w:r>
          </w:p>
        </w:tc>
        <w:tc>
          <w:tcPr>
            <w:tcW w:w="0" w:type="auto"/>
            <w:tcBorders>
              <w:top w:val="nil"/>
              <w:left w:val="nil"/>
              <w:bottom w:val="nil"/>
              <w:right w:val="nil"/>
            </w:tcBorders>
            <w:shd w:val="clear" w:color="000000" w:fill="FFFFFF"/>
            <w:noWrap/>
            <w:vAlign w:val="center"/>
            <w:hideMark/>
          </w:tcPr>
          <w:p w14:paraId="21770B46"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single" w:sz="8" w:space="0" w:color="auto"/>
              <w:right w:val="nil"/>
            </w:tcBorders>
            <w:shd w:val="clear" w:color="000000" w:fill="FFFFFF"/>
            <w:noWrap/>
            <w:vAlign w:val="center"/>
            <w:hideMark/>
          </w:tcPr>
          <w:p w14:paraId="6EF844C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703,737 </w:t>
            </w:r>
          </w:p>
        </w:tc>
        <w:tc>
          <w:tcPr>
            <w:tcW w:w="0" w:type="auto"/>
            <w:tcBorders>
              <w:top w:val="nil"/>
              <w:left w:val="nil"/>
              <w:bottom w:val="single" w:sz="8" w:space="0" w:color="auto"/>
              <w:right w:val="nil"/>
            </w:tcBorders>
            <w:shd w:val="clear" w:color="000000" w:fill="FFFFFF"/>
            <w:noWrap/>
            <w:vAlign w:val="center"/>
            <w:hideMark/>
          </w:tcPr>
          <w:p w14:paraId="4574A4DF"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1,033,677 </w:t>
            </w:r>
          </w:p>
        </w:tc>
        <w:tc>
          <w:tcPr>
            <w:tcW w:w="0" w:type="auto"/>
            <w:tcBorders>
              <w:top w:val="nil"/>
              <w:left w:val="nil"/>
              <w:bottom w:val="single" w:sz="8" w:space="0" w:color="auto"/>
              <w:right w:val="nil"/>
            </w:tcBorders>
            <w:shd w:val="clear" w:color="000000" w:fill="FFFFFF"/>
            <w:noWrap/>
            <w:vAlign w:val="center"/>
            <w:hideMark/>
          </w:tcPr>
          <w:p w14:paraId="26E5D99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106,780 </w:t>
            </w:r>
          </w:p>
        </w:tc>
        <w:tc>
          <w:tcPr>
            <w:tcW w:w="0" w:type="auto"/>
            <w:tcBorders>
              <w:top w:val="nil"/>
              <w:left w:val="nil"/>
              <w:bottom w:val="single" w:sz="8" w:space="0" w:color="auto"/>
              <w:right w:val="nil"/>
            </w:tcBorders>
            <w:shd w:val="clear" w:color="000000" w:fill="FFFFFF"/>
            <w:noWrap/>
            <w:vAlign w:val="center"/>
            <w:hideMark/>
          </w:tcPr>
          <w:p w14:paraId="5AD9B39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95,471 </w:t>
            </w:r>
          </w:p>
        </w:tc>
        <w:tc>
          <w:tcPr>
            <w:tcW w:w="0" w:type="auto"/>
            <w:tcBorders>
              <w:top w:val="nil"/>
              <w:left w:val="nil"/>
              <w:bottom w:val="single" w:sz="8" w:space="0" w:color="auto"/>
              <w:right w:val="nil"/>
            </w:tcBorders>
            <w:shd w:val="clear" w:color="000000" w:fill="FFFFFF"/>
            <w:noWrap/>
            <w:vAlign w:val="center"/>
            <w:hideMark/>
          </w:tcPr>
          <w:p w14:paraId="6CCAE4F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1,607,205 </w:t>
            </w:r>
          </w:p>
        </w:tc>
        <w:tc>
          <w:tcPr>
            <w:tcW w:w="0" w:type="auto"/>
            <w:tcBorders>
              <w:top w:val="nil"/>
              <w:left w:val="nil"/>
              <w:bottom w:val="single" w:sz="8" w:space="0" w:color="auto"/>
              <w:right w:val="nil"/>
            </w:tcBorders>
            <w:shd w:val="clear" w:color="000000" w:fill="FFFFFF"/>
            <w:noWrap/>
            <w:vAlign w:val="center"/>
            <w:hideMark/>
          </w:tcPr>
          <w:p w14:paraId="3EBDE9E3"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single" w:sz="8" w:space="0" w:color="auto"/>
              <w:right w:val="nil"/>
            </w:tcBorders>
            <w:shd w:val="clear" w:color="000000" w:fill="FFFFFF"/>
            <w:noWrap/>
            <w:vAlign w:val="center"/>
            <w:hideMark/>
          </w:tcPr>
          <w:p w14:paraId="16C2788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3,546,870 </w:t>
            </w:r>
          </w:p>
        </w:tc>
      </w:tr>
      <w:tr w:rsidR="00937254" w:rsidRPr="00937254" w14:paraId="34BBF9F0" w14:textId="77777777" w:rsidTr="00937254">
        <w:trPr>
          <w:trHeight w:val="315"/>
        </w:trPr>
        <w:tc>
          <w:tcPr>
            <w:tcW w:w="0" w:type="auto"/>
            <w:tcBorders>
              <w:top w:val="nil"/>
              <w:left w:val="nil"/>
              <w:bottom w:val="nil"/>
              <w:right w:val="nil"/>
            </w:tcBorders>
            <w:shd w:val="clear" w:color="000000" w:fill="FFFFFF"/>
            <w:noWrap/>
            <w:vAlign w:val="center"/>
            <w:hideMark/>
          </w:tcPr>
          <w:p w14:paraId="4514AADC" w14:textId="77777777" w:rsidR="00937254" w:rsidRPr="00937254" w:rsidRDefault="00937254" w:rsidP="00937254">
            <w:pPr>
              <w:widowControl/>
              <w:autoSpaceDE/>
              <w:autoSpaceDN/>
              <w:rPr>
                <w:rFonts w:ascii="Arial" w:eastAsia="Times New Roman" w:hAnsi="Arial" w:cs="Arial"/>
                <w:b/>
                <w:bCs/>
                <w:sz w:val="18"/>
                <w:szCs w:val="18"/>
                <w:u w:val="single"/>
                <w:lang w:bidi="ar-SA"/>
              </w:rPr>
            </w:pPr>
            <w:r w:rsidRPr="00937254">
              <w:rPr>
                <w:rFonts w:ascii="Arial" w:eastAsia="Times New Roman" w:hAnsi="Arial" w:cs="Arial"/>
                <w:b/>
                <w:bCs/>
                <w:sz w:val="18"/>
                <w:szCs w:val="18"/>
                <w:u w:val="single"/>
                <w:lang w:bidi="ar-SA"/>
              </w:rPr>
              <w:t>Carrying amount</w:t>
            </w:r>
          </w:p>
        </w:tc>
        <w:tc>
          <w:tcPr>
            <w:tcW w:w="0" w:type="auto"/>
            <w:tcBorders>
              <w:top w:val="nil"/>
              <w:left w:val="nil"/>
              <w:bottom w:val="nil"/>
              <w:right w:val="nil"/>
            </w:tcBorders>
            <w:shd w:val="clear" w:color="000000" w:fill="FFFFFF"/>
            <w:noWrap/>
            <w:vAlign w:val="center"/>
            <w:hideMark/>
          </w:tcPr>
          <w:p w14:paraId="44EB9EED" w14:textId="77777777" w:rsidR="00937254" w:rsidRPr="00937254" w:rsidRDefault="00937254" w:rsidP="00937254">
            <w:pPr>
              <w:widowControl/>
              <w:autoSpaceDE/>
              <w:autoSpaceDN/>
              <w:rPr>
                <w:rFonts w:ascii="Arial" w:eastAsia="Times New Roman" w:hAnsi="Arial" w:cs="Arial"/>
                <w:b/>
                <w:bCs/>
                <w:color w:val="008080"/>
                <w:sz w:val="18"/>
                <w:szCs w:val="18"/>
                <w:u w:val="single"/>
                <w:lang w:bidi="ar-SA"/>
              </w:rPr>
            </w:pPr>
            <w:r w:rsidRPr="00937254">
              <w:rPr>
                <w:rFonts w:ascii="Arial" w:eastAsia="Times New Roman" w:hAnsi="Arial" w:cs="Arial"/>
                <w:b/>
                <w:bCs/>
                <w:color w:val="008080"/>
                <w:sz w:val="18"/>
                <w:szCs w:val="18"/>
                <w:u w:val="single"/>
                <w:lang w:bidi="ar-SA"/>
              </w:rPr>
              <w:t> </w:t>
            </w:r>
          </w:p>
        </w:tc>
        <w:tc>
          <w:tcPr>
            <w:tcW w:w="0" w:type="auto"/>
            <w:tcBorders>
              <w:top w:val="nil"/>
              <w:left w:val="nil"/>
              <w:bottom w:val="nil"/>
              <w:right w:val="nil"/>
            </w:tcBorders>
            <w:shd w:val="clear" w:color="000000" w:fill="FFFFFF"/>
            <w:noWrap/>
            <w:vAlign w:val="center"/>
            <w:hideMark/>
          </w:tcPr>
          <w:p w14:paraId="1E3CBE3F"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1B5B29B1"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135B24A0"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2A98BFE1"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4105E598"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1A45BD4E"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c>
          <w:tcPr>
            <w:tcW w:w="0" w:type="auto"/>
            <w:tcBorders>
              <w:top w:val="nil"/>
              <w:left w:val="nil"/>
              <w:bottom w:val="nil"/>
              <w:right w:val="nil"/>
            </w:tcBorders>
            <w:shd w:val="clear" w:color="000000" w:fill="FFFFFF"/>
            <w:noWrap/>
            <w:vAlign w:val="center"/>
            <w:hideMark/>
          </w:tcPr>
          <w:p w14:paraId="007C1EF3" w14:textId="77777777" w:rsidR="00937254" w:rsidRPr="00937254" w:rsidRDefault="00937254" w:rsidP="00937254">
            <w:pPr>
              <w:widowControl/>
              <w:autoSpaceDE/>
              <w:autoSpaceDN/>
              <w:rPr>
                <w:rFonts w:ascii="Arial" w:eastAsia="Times New Roman" w:hAnsi="Arial" w:cs="Arial"/>
                <w:b/>
                <w:bCs/>
                <w:color w:val="008080"/>
                <w:sz w:val="18"/>
                <w:szCs w:val="18"/>
                <w:lang w:bidi="ar-SA"/>
              </w:rPr>
            </w:pPr>
            <w:r w:rsidRPr="00937254">
              <w:rPr>
                <w:rFonts w:ascii="Arial" w:eastAsia="Times New Roman" w:hAnsi="Arial" w:cs="Arial"/>
                <w:b/>
                <w:bCs/>
                <w:color w:val="008080"/>
                <w:sz w:val="18"/>
                <w:szCs w:val="18"/>
                <w:lang w:bidi="ar-SA"/>
              </w:rPr>
              <w:t> </w:t>
            </w:r>
          </w:p>
        </w:tc>
      </w:tr>
      <w:tr w:rsidR="00937254" w:rsidRPr="00937254" w14:paraId="1FB123A6" w14:textId="77777777" w:rsidTr="00937254">
        <w:trPr>
          <w:trHeight w:val="330"/>
        </w:trPr>
        <w:tc>
          <w:tcPr>
            <w:tcW w:w="0" w:type="auto"/>
            <w:tcBorders>
              <w:top w:val="nil"/>
              <w:left w:val="nil"/>
              <w:bottom w:val="nil"/>
              <w:right w:val="nil"/>
            </w:tcBorders>
            <w:shd w:val="clear" w:color="000000" w:fill="FFFFFF"/>
            <w:noWrap/>
            <w:vAlign w:val="center"/>
            <w:hideMark/>
          </w:tcPr>
          <w:p w14:paraId="2A7045BB"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At 31 July 2021</w:t>
            </w:r>
          </w:p>
        </w:tc>
        <w:tc>
          <w:tcPr>
            <w:tcW w:w="0" w:type="auto"/>
            <w:tcBorders>
              <w:top w:val="nil"/>
              <w:left w:val="nil"/>
              <w:bottom w:val="nil"/>
              <w:right w:val="nil"/>
            </w:tcBorders>
            <w:shd w:val="clear" w:color="000000" w:fill="FFFFFF"/>
            <w:noWrap/>
            <w:vAlign w:val="center"/>
            <w:hideMark/>
          </w:tcPr>
          <w:p w14:paraId="302FD83C"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double" w:sz="6" w:space="0" w:color="auto"/>
              <w:right w:val="nil"/>
            </w:tcBorders>
            <w:shd w:val="clear" w:color="000000" w:fill="FFFFFF"/>
            <w:noWrap/>
            <w:vAlign w:val="center"/>
            <w:hideMark/>
          </w:tcPr>
          <w:p w14:paraId="368747F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11,242,282 </w:t>
            </w:r>
          </w:p>
        </w:tc>
        <w:tc>
          <w:tcPr>
            <w:tcW w:w="0" w:type="auto"/>
            <w:tcBorders>
              <w:top w:val="nil"/>
              <w:left w:val="nil"/>
              <w:bottom w:val="double" w:sz="6" w:space="0" w:color="auto"/>
              <w:right w:val="nil"/>
            </w:tcBorders>
            <w:shd w:val="clear" w:color="000000" w:fill="FFFFFF"/>
            <w:noWrap/>
            <w:vAlign w:val="center"/>
            <w:hideMark/>
          </w:tcPr>
          <w:p w14:paraId="7EE04F2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13,268,220 </w:t>
            </w:r>
          </w:p>
        </w:tc>
        <w:tc>
          <w:tcPr>
            <w:tcW w:w="0" w:type="auto"/>
            <w:tcBorders>
              <w:top w:val="nil"/>
              <w:left w:val="nil"/>
              <w:bottom w:val="double" w:sz="6" w:space="0" w:color="auto"/>
              <w:right w:val="nil"/>
            </w:tcBorders>
            <w:shd w:val="clear" w:color="000000" w:fill="FFFFFF"/>
            <w:noWrap/>
            <w:vAlign w:val="center"/>
            <w:hideMark/>
          </w:tcPr>
          <w:p w14:paraId="7E490505"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167,453 </w:t>
            </w:r>
          </w:p>
        </w:tc>
        <w:tc>
          <w:tcPr>
            <w:tcW w:w="0" w:type="auto"/>
            <w:tcBorders>
              <w:top w:val="nil"/>
              <w:left w:val="nil"/>
              <w:bottom w:val="double" w:sz="6" w:space="0" w:color="auto"/>
              <w:right w:val="nil"/>
            </w:tcBorders>
            <w:shd w:val="clear" w:color="000000" w:fill="FFFFFF"/>
            <w:noWrap/>
            <w:vAlign w:val="center"/>
            <w:hideMark/>
          </w:tcPr>
          <w:p w14:paraId="5252953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459,046 </w:t>
            </w:r>
          </w:p>
        </w:tc>
        <w:tc>
          <w:tcPr>
            <w:tcW w:w="0" w:type="auto"/>
            <w:tcBorders>
              <w:top w:val="nil"/>
              <w:left w:val="nil"/>
              <w:bottom w:val="double" w:sz="6" w:space="0" w:color="auto"/>
              <w:right w:val="nil"/>
            </w:tcBorders>
            <w:shd w:val="clear" w:color="000000" w:fill="FFFFFF"/>
            <w:noWrap/>
            <w:vAlign w:val="center"/>
            <w:hideMark/>
          </w:tcPr>
          <w:p w14:paraId="45333752"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7,483,648 </w:t>
            </w:r>
          </w:p>
        </w:tc>
        <w:tc>
          <w:tcPr>
            <w:tcW w:w="0" w:type="auto"/>
            <w:tcBorders>
              <w:top w:val="nil"/>
              <w:left w:val="nil"/>
              <w:bottom w:val="double" w:sz="6" w:space="0" w:color="auto"/>
              <w:right w:val="nil"/>
            </w:tcBorders>
            <w:shd w:val="clear" w:color="000000" w:fill="FFFFFF"/>
            <w:noWrap/>
            <w:vAlign w:val="center"/>
            <w:hideMark/>
          </w:tcPr>
          <w:p w14:paraId="58DE248C"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3,238,834 </w:t>
            </w:r>
          </w:p>
        </w:tc>
        <w:tc>
          <w:tcPr>
            <w:tcW w:w="0" w:type="auto"/>
            <w:tcBorders>
              <w:top w:val="nil"/>
              <w:left w:val="nil"/>
              <w:bottom w:val="double" w:sz="6" w:space="0" w:color="auto"/>
              <w:right w:val="nil"/>
            </w:tcBorders>
            <w:shd w:val="clear" w:color="000000" w:fill="FFFFFF"/>
            <w:noWrap/>
            <w:vAlign w:val="center"/>
            <w:hideMark/>
          </w:tcPr>
          <w:p w14:paraId="5D2CEDF1"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35,859,482 </w:t>
            </w:r>
          </w:p>
        </w:tc>
      </w:tr>
      <w:tr w:rsidR="00937254" w:rsidRPr="00937254" w14:paraId="0756EAD7" w14:textId="77777777" w:rsidTr="00937254">
        <w:trPr>
          <w:trHeight w:val="330"/>
        </w:trPr>
        <w:tc>
          <w:tcPr>
            <w:tcW w:w="0" w:type="auto"/>
            <w:tcBorders>
              <w:top w:val="nil"/>
              <w:left w:val="nil"/>
              <w:bottom w:val="nil"/>
              <w:right w:val="nil"/>
            </w:tcBorders>
            <w:shd w:val="clear" w:color="000000" w:fill="FFFFFF"/>
            <w:noWrap/>
            <w:vAlign w:val="center"/>
            <w:hideMark/>
          </w:tcPr>
          <w:p w14:paraId="69B15CC3"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At 31 July 2020</w:t>
            </w:r>
          </w:p>
        </w:tc>
        <w:tc>
          <w:tcPr>
            <w:tcW w:w="0" w:type="auto"/>
            <w:tcBorders>
              <w:top w:val="nil"/>
              <w:left w:val="nil"/>
              <w:bottom w:val="nil"/>
              <w:right w:val="nil"/>
            </w:tcBorders>
            <w:shd w:val="clear" w:color="000000" w:fill="FFFFFF"/>
            <w:noWrap/>
            <w:vAlign w:val="center"/>
            <w:hideMark/>
          </w:tcPr>
          <w:p w14:paraId="54408D4A" w14:textId="77777777" w:rsidR="00937254" w:rsidRPr="00937254" w:rsidRDefault="00937254" w:rsidP="00937254">
            <w:pPr>
              <w:widowControl/>
              <w:autoSpaceDE/>
              <w:autoSpaceDN/>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w:t>
            </w:r>
          </w:p>
        </w:tc>
        <w:tc>
          <w:tcPr>
            <w:tcW w:w="0" w:type="auto"/>
            <w:tcBorders>
              <w:top w:val="nil"/>
              <w:left w:val="nil"/>
              <w:bottom w:val="double" w:sz="6" w:space="0" w:color="auto"/>
              <w:right w:val="nil"/>
            </w:tcBorders>
            <w:shd w:val="clear" w:color="000000" w:fill="FFFFFF"/>
            <w:noWrap/>
            <w:vAlign w:val="center"/>
            <w:hideMark/>
          </w:tcPr>
          <w:p w14:paraId="4B7931A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6,327,658 </w:t>
            </w:r>
          </w:p>
        </w:tc>
        <w:tc>
          <w:tcPr>
            <w:tcW w:w="0" w:type="auto"/>
            <w:tcBorders>
              <w:top w:val="nil"/>
              <w:left w:val="nil"/>
              <w:bottom w:val="double" w:sz="6" w:space="0" w:color="auto"/>
              <w:right w:val="nil"/>
            </w:tcBorders>
            <w:shd w:val="clear" w:color="000000" w:fill="FFFFFF"/>
            <w:noWrap/>
            <w:vAlign w:val="center"/>
            <w:hideMark/>
          </w:tcPr>
          <w:p w14:paraId="0373222D"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14,018,517 </w:t>
            </w:r>
          </w:p>
        </w:tc>
        <w:tc>
          <w:tcPr>
            <w:tcW w:w="0" w:type="auto"/>
            <w:tcBorders>
              <w:top w:val="nil"/>
              <w:left w:val="nil"/>
              <w:bottom w:val="double" w:sz="6" w:space="0" w:color="auto"/>
              <w:right w:val="nil"/>
            </w:tcBorders>
            <w:shd w:val="clear" w:color="000000" w:fill="FFFFFF"/>
            <w:noWrap/>
            <w:vAlign w:val="center"/>
            <w:hideMark/>
          </w:tcPr>
          <w:p w14:paraId="72F2BC89"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174,598 </w:t>
            </w:r>
          </w:p>
        </w:tc>
        <w:tc>
          <w:tcPr>
            <w:tcW w:w="0" w:type="auto"/>
            <w:tcBorders>
              <w:top w:val="nil"/>
              <w:left w:val="nil"/>
              <w:bottom w:val="double" w:sz="6" w:space="0" w:color="auto"/>
              <w:right w:val="nil"/>
            </w:tcBorders>
            <w:shd w:val="clear" w:color="000000" w:fill="FFFFFF"/>
            <w:noWrap/>
            <w:vAlign w:val="center"/>
            <w:hideMark/>
          </w:tcPr>
          <w:p w14:paraId="6537C9B4"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615,042 </w:t>
            </w:r>
          </w:p>
        </w:tc>
        <w:tc>
          <w:tcPr>
            <w:tcW w:w="0" w:type="auto"/>
            <w:tcBorders>
              <w:top w:val="nil"/>
              <w:left w:val="nil"/>
              <w:bottom w:val="double" w:sz="6" w:space="0" w:color="auto"/>
              <w:right w:val="nil"/>
            </w:tcBorders>
            <w:shd w:val="clear" w:color="000000" w:fill="FFFFFF"/>
            <w:noWrap/>
            <w:vAlign w:val="center"/>
            <w:hideMark/>
          </w:tcPr>
          <w:p w14:paraId="2841FB00"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4,271,956 </w:t>
            </w:r>
          </w:p>
        </w:tc>
        <w:tc>
          <w:tcPr>
            <w:tcW w:w="0" w:type="auto"/>
            <w:tcBorders>
              <w:top w:val="nil"/>
              <w:left w:val="nil"/>
              <w:bottom w:val="double" w:sz="6" w:space="0" w:color="auto"/>
              <w:right w:val="nil"/>
            </w:tcBorders>
            <w:shd w:val="clear" w:color="000000" w:fill="FFFFFF"/>
            <w:noWrap/>
            <w:vAlign w:val="center"/>
            <w:hideMark/>
          </w:tcPr>
          <w:p w14:paraId="0646E51A"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   </w:t>
            </w:r>
          </w:p>
        </w:tc>
        <w:tc>
          <w:tcPr>
            <w:tcW w:w="0" w:type="auto"/>
            <w:tcBorders>
              <w:top w:val="nil"/>
              <w:left w:val="nil"/>
              <w:bottom w:val="double" w:sz="6" w:space="0" w:color="auto"/>
              <w:right w:val="nil"/>
            </w:tcBorders>
            <w:shd w:val="clear" w:color="000000" w:fill="FFFFFF"/>
            <w:noWrap/>
            <w:vAlign w:val="center"/>
            <w:hideMark/>
          </w:tcPr>
          <w:p w14:paraId="68CFCF77" w14:textId="77777777" w:rsidR="00937254" w:rsidRPr="00937254" w:rsidRDefault="00937254" w:rsidP="00937254">
            <w:pPr>
              <w:widowControl/>
              <w:autoSpaceDE/>
              <w:autoSpaceDN/>
              <w:jc w:val="right"/>
              <w:rPr>
                <w:rFonts w:ascii="Arial" w:eastAsia="Times New Roman" w:hAnsi="Arial" w:cs="Arial"/>
                <w:color w:val="000000"/>
                <w:sz w:val="18"/>
                <w:szCs w:val="18"/>
                <w:lang w:bidi="ar-SA"/>
              </w:rPr>
            </w:pPr>
            <w:r w:rsidRPr="00937254">
              <w:rPr>
                <w:rFonts w:ascii="Arial" w:eastAsia="Times New Roman" w:hAnsi="Arial" w:cs="Arial"/>
                <w:color w:val="000000"/>
                <w:sz w:val="18"/>
                <w:szCs w:val="18"/>
                <w:lang w:bidi="ar-SA"/>
              </w:rPr>
              <w:t xml:space="preserve">        25,407,771 </w:t>
            </w:r>
          </w:p>
        </w:tc>
      </w:tr>
    </w:tbl>
    <w:p w14:paraId="6AE117E5" w14:textId="77777777" w:rsidR="000C69C7" w:rsidRDefault="000C69C7" w:rsidP="0089653F">
      <w:pPr>
        <w:tabs>
          <w:tab w:val="left" w:pos="989"/>
        </w:tabs>
        <w:rPr>
          <w:rFonts w:asciiTheme="minorHAnsi" w:hAnsiTheme="minorHAnsi" w:cstheme="minorHAnsi"/>
          <w:sz w:val="20"/>
          <w:szCs w:val="20"/>
        </w:rPr>
        <w:sectPr w:rsidR="000C69C7" w:rsidSect="000C69C7">
          <w:pgSz w:w="16840" w:h="11910" w:orient="landscape"/>
          <w:pgMar w:top="743" w:right="1531" w:bottom="79" w:left="743" w:header="0" w:footer="539" w:gutter="0"/>
          <w:cols w:space="720"/>
          <w:docGrid w:linePitch="299"/>
        </w:sectPr>
      </w:pPr>
    </w:p>
    <w:tbl>
      <w:tblPr>
        <w:tblW w:w="0" w:type="auto"/>
        <w:tblLook w:val="04A0" w:firstRow="1" w:lastRow="0" w:firstColumn="1" w:lastColumn="0" w:noHBand="0" w:noVBand="1"/>
      </w:tblPr>
      <w:tblGrid>
        <w:gridCol w:w="2757"/>
        <w:gridCol w:w="339"/>
        <w:gridCol w:w="222"/>
        <w:gridCol w:w="1217"/>
        <w:gridCol w:w="272"/>
        <w:gridCol w:w="1329"/>
      </w:tblGrid>
      <w:tr w:rsidR="00937254" w:rsidRPr="00937254" w14:paraId="7CADE86C" w14:textId="77777777" w:rsidTr="00937254">
        <w:trPr>
          <w:trHeight w:val="300"/>
        </w:trPr>
        <w:tc>
          <w:tcPr>
            <w:tcW w:w="0" w:type="auto"/>
            <w:gridSpan w:val="2"/>
            <w:tcBorders>
              <w:top w:val="nil"/>
              <w:left w:val="nil"/>
              <w:bottom w:val="nil"/>
              <w:right w:val="nil"/>
            </w:tcBorders>
            <w:shd w:val="clear" w:color="auto" w:fill="auto"/>
            <w:noWrap/>
            <w:vAlign w:val="bottom"/>
            <w:hideMark/>
          </w:tcPr>
          <w:p w14:paraId="72288D76"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lastRenderedPageBreak/>
              <w:t>5. Trade and other receivables</w:t>
            </w:r>
          </w:p>
        </w:tc>
        <w:tc>
          <w:tcPr>
            <w:tcW w:w="0" w:type="auto"/>
            <w:tcBorders>
              <w:top w:val="nil"/>
              <w:left w:val="nil"/>
              <w:bottom w:val="nil"/>
              <w:right w:val="nil"/>
            </w:tcBorders>
            <w:shd w:val="clear" w:color="auto" w:fill="auto"/>
            <w:noWrap/>
            <w:vAlign w:val="bottom"/>
            <w:hideMark/>
          </w:tcPr>
          <w:p w14:paraId="18C7CB0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43C37E7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DD76F4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CD5AF2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2464F0C4" w14:textId="77777777" w:rsidTr="00937254">
        <w:trPr>
          <w:trHeight w:val="300"/>
        </w:trPr>
        <w:tc>
          <w:tcPr>
            <w:tcW w:w="0" w:type="auto"/>
            <w:tcBorders>
              <w:top w:val="nil"/>
              <w:left w:val="nil"/>
              <w:bottom w:val="nil"/>
              <w:right w:val="nil"/>
            </w:tcBorders>
            <w:shd w:val="clear" w:color="auto" w:fill="auto"/>
            <w:noWrap/>
            <w:vAlign w:val="bottom"/>
            <w:hideMark/>
          </w:tcPr>
          <w:p w14:paraId="36BA755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A34590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5494EB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585EB50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Unaudited</w:t>
            </w:r>
          </w:p>
        </w:tc>
        <w:tc>
          <w:tcPr>
            <w:tcW w:w="0" w:type="auto"/>
            <w:tcBorders>
              <w:top w:val="nil"/>
              <w:left w:val="nil"/>
              <w:bottom w:val="nil"/>
              <w:right w:val="nil"/>
            </w:tcBorders>
            <w:shd w:val="clear" w:color="auto" w:fill="auto"/>
            <w:noWrap/>
            <w:vAlign w:val="center"/>
            <w:hideMark/>
          </w:tcPr>
          <w:p w14:paraId="4452A30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31444DAF"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Audited</w:t>
            </w:r>
          </w:p>
        </w:tc>
      </w:tr>
      <w:tr w:rsidR="00937254" w:rsidRPr="00937254" w14:paraId="5F037B41" w14:textId="77777777" w:rsidTr="00937254">
        <w:trPr>
          <w:trHeight w:val="300"/>
        </w:trPr>
        <w:tc>
          <w:tcPr>
            <w:tcW w:w="0" w:type="auto"/>
            <w:tcBorders>
              <w:top w:val="nil"/>
              <w:left w:val="nil"/>
              <w:bottom w:val="nil"/>
              <w:right w:val="nil"/>
            </w:tcBorders>
            <w:shd w:val="clear" w:color="auto" w:fill="auto"/>
            <w:noWrap/>
            <w:vAlign w:val="bottom"/>
            <w:hideMark/>
          </w:tcPr>
          <w:p w14:paraId="4F755FE6"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64ECEC7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037AED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233BA814"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31 July</w:t>
            </w:r>
          </w:p>
        </w:tc>
        <w:tc>
          <w:tcPr>
            <w:tcW w:w="0" w:type="auto"/>
            <w:tcBorders>
              <w:top w:val="nil"/>
              <w:left w:val="nil"/>
              <w:bottom w:val="nil"/>
              <w:right w:val="nil"/>
            </w:tcBorders>
            <w:shd w:val="clear" w:color="auto" w:fill="auto"/>
            <w:noWrap/>
            <w:vAlign w:val="center"/>
            <w:hideMark/>
          </w:tcPr>
          <w:p w14:paraId="42ABDAD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55F62558"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31 July</w:t>
            </w:r>
          </w:p>
        </w:tc>
      </w:tr>
      <w:tr w:rsidR="00937254" w:rsidRPr="00937254" w14:paraId="08FD2EEE" w14:textId="77777777" w:rsidTr="00937254">
        <w:trPr>
          <w:trHeight w:val="300"/>
        </w:trPr>
        <w:tc>
          <w:tcPr>
            <w:tcW w:w="0" w:type="auto"/>
            <w:tcBorders>
              <w:top w:val="nil"/>
              <w:left w:val="nil"/>
              <w:bottom w:val="nil"/>
              <w:right w:val="nil"/>
            </w:tcBorders>
            <w:shd w:val="clear" w:color="auto" w:fill="auto"/>
            <w:noWrap/>
            <w:vAlign w:val="bottom"/>
            <w:hideMark/>
          </w:tcPr>
          <w:p w14:paraId="239C6819"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425247B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9973ADC"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69B9E6E8"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2021</w:t>
            </w:r>
          </w:p>
        </w:tc>
        <w:tc>
          <w:tcPr>
            <w:tcW w:w="0" w:type="auto"/>
            <w:tcBorders>
              <w:top w:val="nil"/>
              <w:left w:val="nil"/>
              <w:bottom w:val="nil"/>
              <w:right w:val="nil"/>
            </w:tcBorders>
            <w:shd w:val="clear" w:color="auto" w:fill="auto"/>
            <w:noWrap/>
            <w:vAlign w:val="center"/>
            <w:hideMark/>
          </w:tcPr>
          <w:p w14:paraId="1BDC3C15"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6AF9B763"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2020</w:t>
            </w:r>
          </w:p>
        </w:tc>
      </w:tr>
      <w:tr w:rsidR="00937254" w:rsidRPr="00937254" w14:paraId="42FFE866" w14:textId="77777777" w:rsidTr="00937254">
        <w:trPr>
          <w:trHeight w:val="300"/>
        </w:trPr>
        <w:tc>
          <w:tcPr>
            <w:tcW w:w="0" w:type="auto"/>
            <w:tcBorders>
              <w:top w:val="nil"/>
              <w:left w:val="nil"/>
              <w:bottom w:val="nil"/>
              <w:right w:val="nil"/>
            </w:tcBorders>
            <w:shd w:val="clear" w:color="auto" w:fill="auto"/>
            <w:noWrap/>
            <w:vAlign w:val="bottom"/>
            <w:hideMark/>
          </w:tcPr>
          <w:p w14:paraId="73FE0B8B"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40DBE5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E4C10B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729C865"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c>
          <w:tcPr>
            <w:tcW w:w="0" w:type="auto"/>
            <w:tcBorders>
              <w:top w:val="nil"/>
              <w:left w:val="nil"/>
              <w:bottom w:val="nil"/>
              <w:right w:val="nil"/>
            </w:tcBorders>
            <w:shd w:val="clear" w:color="auto" w:fill="auto"/>
            <w:noWrap/>
            <w:vAlign w:val="bottom"/>
            <w:hideMark/>
          </w:tcPr>
          <w:p w14:paraId="78F99FF5"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1B7A6EF8"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r>
      <w:tr w:rsidR="00937254" w:rsidRPr="00937254" w14:paraId="7FDD365F" w14:textId="77777777" w:rsidTr="00937254">
        <w:trPr>
          <w:trHeight w:val="300"/>
        </w:trPr>
        <w:tc>
          <w:tcPr>
            <w:tcW w:w="0" w:type="auto"/>
            <w:tcBorders>
              <w:top w:val="nil"/>
              <w:left w:val="nil"/>
              <w:bottom w:val="nil"/>
              <w:right w:val="nil"/>
            </w:tcBorders>
            <w:shd w:val="clear" w:color="auto" w:fill="auto"/>
            <w:noWrap/>
            <w:vAlign w:val="bottom"/>
            <w:hideMark/>
          </w:tcPr>
          <w:p w14:paraId="6E8375C1"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Trade receivables</w:t>
            </w:r>
          </w:p>
        </w:tc>
        <w:tc>
          <w:tcPr>
            <w:tcW w:w="0" w:type="auto"/>
            <w:tcBorders>
              <w:top w:val="nil"/>
              <w:left w:val="nil"/>
              <w:bottom w:val="nil"/>
              <w:right w:val="nil"/>
            </w:tcBorders>
            <w:shd w:val="clear" w:color="auto" w:fill="auto"/>
            <w:noWrap/>
            <w:vAlign w:val="bottom"/>
            <w:hideMark/>
          </w:tcPr>
          <w:p w14:paraId="4449721C"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50AB85E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F3C875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185,336 </w:t>
            </w:r>
          </w:p>
        </w:tc>
        <w:tc>
          <w:tcPr>
            <w:tcW w:w="0" w:type="auto"/>
            <w:tcBorders>
              <w:top w:val="nil"/>
              <w:left w:val="nil"/>
              <w:bottom w:val="nil"/>
              <w:right w:val="nil"/>
            </w:tcBorders>
            <w:shd w:val="clear" w:color="auto" w:fill="auto"/>
            <w:noWrap/>
            <w:vAlign w:val="bottom"/>
            <w:hideMark/>
          </w:tcPr>
          <w:p w14:paraId="30211D0D"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1644CA6"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225276</w:t>
            </w:r>
          </w:p>
        </w:tc>
      </w:tr>
      <w:tr w:rsidR="00937254" w:rsidRPr="00937254" w14:paraId="6654220A" w14:textId="77777777" w:rsidTr="00937254">
        <w:trPr>
          <w:trHeight w:val="300"/>
        </w:trPr>
        <w:tc>
          <w:tcPr>
            <w:tcW w:w="0" w:type="auto"/>
            <w:tcBorders>
              <w:top w:val="nil"/>
              <w:left w:val="nil"/>
              <w:bottom w:val="nil"/>
              <w:right w:val="nil"/>
            </w:tcBorders>
            <w:shd w:val="clear" w:color="auto" w:fill="auto"/>
            <w:noWrap/>
            <w:vAlign w:val="bottom"/>
            <w:hideMark/>
          </w:tcPr>
          <w:p w14:paraId="647BD1F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Accrued Income</w:t>
            </w:r>
          </w:p>
        </w:tc>
        <w:tc>
          <w:tcPr>
            <w:tcW w:w="0" w:type="auto"/>
            <w:tcBorders>
              <w:top w:val="nil"/>
              <w:left w:val="nil"/>
              <w:bottom w:val="nil"/>
              <w:right w:val="nil"/>
            </w:tcBorders>
            <w:shd w:val="clear" w:color="auto" w:fill="auto"/>
            <w:noWrap/>
            <w:vAlign w:val="bottom"/>
            <w:hideMark/>
          </w:tcPr>
          <w:p w14:paraId="7D322AD2"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8A1A87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CC784C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1,517,013 </w:t>
            </w:r>
          </w:p>
        </w:tc>
        <w:tc>
          <w:tcPr>
            <w:tcW w:w="0" w:type="auto"/>
            <w:tcBorders>
              <w:top w:val="nil"/>
              <w:left w:val="nil"/>
              <w:bottom w:val="nil"/>
              <w:right w:val="nil"/>
            </w:tcBorders>
            <w:shd w:val="clear" w:color="auto" w:fill="auto"/>
            <w:noWrap/>
            <w:vAlign w:val="bottom"/>
            <w:hideMark/>
          </w:tcPr>
          <w:p w14:paraId="4D3D0FE5"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3A97A2FA"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0</w:t>
            </w:r>
          </w:p>
        </w:tc>
      </w:tr>
      <w:tr w:rsidR="00937254" w:rsidRPr="00937254" w14:paraId="6577261C" w14:textId="77777777" w:rsidTr="00937254">
        <w:trPr>
          <w:trHeight w:val="300"/>
        </w:trPr>
        <w:tc>
          <w:tcPr>
            <w:tcW w:w="0" w:type="auto"/>
            <w:tcBorders>
              <w:top w:val="nil"/>
              <w:left w:val="nil"/>
              <w:bottom w:val="nil"/>
              <w:right w:val="nil"/>
            </w:tcBorders>
            <w:shd w:val="clear" w:color="auto" w:fill="auto"/>
            <w:noWrap/>
            <w:vAlign w:val="bottom"/>
            <w:hideMark/>
          </w:tcPr>
          <w:p w14:paraId="44AAD5F0"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Other receivables</w:t>
            </w:r>
          </w:p>
        </w:tc>
        <w:tc>
          <w:tcPr>
            <w:tcW w:w="0" w:type="auto"/>
            <w:tcBorders>
              <w:top w:val="nil"/>
              <w:left w:val="nil"/>
              <w:bottom w:val="nil"/>
              <w:right w:val="nil"/>
            </w:tcBorders>
            <w:shd w:val="clear" w:color="auto" w:fill="auto"/>
            <w:noWrap/>
            <w:vAlign w:val="bottom"/>
            <w:hideMark/>
          </w:tcPr>
          <w:p w14:paraId="68DE3F23"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3129119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F94623D"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1,077,299 </w:t>
            </w:r>
          </w:p>
        </w:tc>
        <w:tc>
          <w:tcPr>
            <w:tcW w:w="0" w:type="auto"/>
            <w:tcBorders>
              <w:top w:val="nil"/>
              <w:left w:val="nil"/>
              <w:bottom w:val="nil"/>
              <w:right w:val="nil"/>
            </w:tcBorders>
            <w:shd w:val="clear" w:color="auto" w:fill="auto"/>
            <w:noWrap/>
            <w:vAlign w:val="bottom"/>
            <w:hideMark/>
          </w:tcPr>
          <w:p w14:paraId="4A898138"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182F30FD"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1397183</w:t>
            </w:r>
          </w:p>
        </w:tc>
      </w:tr>
      <w:tr w:rsidR="00937254" w:rsidRPr="00937254" w14:paraId="3F235C8F" w14:textId="77777777" w:rsidTr="00937254">
        <w:trPr>
          <w:trHeight w:val="300"/>
        </w:trPr>
        <w:tc>
          <w:tcPr>
            <w:tcW w:w="0" w:type="auto"/>
            <w:tcBorders>
              <w:top w:val="nil"/>
              <w:left w:val="nil"/>
              <w:bottom w:val="nil"/>
              <w:right w:val="nil"/>
            </w:tcBorders>
            <w:shd w:val="clear" w:color="auto" w:fill="auto"/>
            <w:noWrap/>
            <w:vAlign w:val="bottom"/>
            <w:hideMark/>
          </w:tcPr>
          <w:p w14:paraId="26FDF5F6"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Prepayments</w:t>
            </w:r>
          </w:p>
        </w:tc>
        <w:tc>
          <w:tcPr>
            <w:tcW w:w="0" w:type="auto"/>
            <w:tcBorders>
              <w:top w:val="nil"/>
              <w:left w:val="nil"/>
              <w:bottom w:val="nil"/>
              <w:right w:val="nil"/>
            </w:tcBorders>
            <w:shd w:val="clear" w:color="auto" w:fill="auto"/>
            <w:noWrap/>
            <w:vAlign w:val="bottom"/>
            <w:hideMark/>
          </w:tcPr>
          <w:p w14:paraId="77D1A685"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40EE397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E1EB17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877,504 </w:t>
            </w:r>
          </w:p>
        </w:tc>
        <w:tc>
          <w:tcPr>
            <w:tcW w:w="0" w:type="auto"/>
            <w:tcBorders>
              <w:top w:val="nil"/>
              <w:left w:val="nil"/>
              <w:bottom w:val="nil"/>
              <w:right w:val="nil"/>
            </w:tcBorders>
            <w:shd w:val="clear" w:color="auto" w:fill="auto"/>
            <w:noWrap/>
            <w:vAlign w:val="bottom"/>
            <w:hideMark/>
          </w:tcPr>
          <w:p w14:paraId="4A8A0C86"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2D0F4DAB"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310795</w:t>
            </w:r>
          </w:p>
        </w:tc>
      </w:tr>
      <w:tr w:rsidR="00937254" w:rsidRPr="00937254" w14:paraId="2E038D94" w14:textId="77777777" w:rsidTr="00937254">
        <w:trPr>
          <w:trHeight w:val="300"/>
        </w:trPr>
        <w:tc>
          <w:tcPr>
            <w:tcW w:w="0" w:type="auto"/>
            <w:tcBorders>
              <w:top w:val="nil"/>
              <w:left w:val="nil"/>
              <w:bottom w:val="nil"/>
              <w:right w:val="nil"/>
            </w:tcBorders>
            <w:shd w:val="clear" w:color="auto" w:fill="auto"/>
            <w:noWrap/>
            <w:vAlign w:val="bottom"/>
            <w:hideMark/>
          </w:tcPr>
          <w:p w14:paraId="4AA29FB5" w14:textId="77777777" w:rsidR="00937254" w:rsidRPr="00937254" w:rsidRDefault="00937254" w:rsidP="00937254">
            <w:pPr>
              <w:widowControl/>
              <w:autoSpaceDE/>
              <w:autoSpaceDN/>
              <w:jc w:val="right"/>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5BD5C0B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24EFDC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B6A983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35DE5B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442B41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6852FD1B" w14:textId="77777777" w:rsidTr="00937254">
        <w:trPr>
          <w:trHeight w:val="315"/>
        </w:trPr>
        <w:tc>
          <w:tcPr>
            <w:tcW w:w="0" w:type="auto"/>
            <w:tcBorders>
              <w:top w:val="nil"/>
              <w:left w:val="nil"/>
              <w:bottom w:val="nil"/>
              <w:right w:val="nil"/>
            </w:tcBorders>
            <w:shd w:val="clear" w:color="auto" w:fill="auto"/>
            <w:noWrap/>
            <w:vAlign w:val="bottom"/>
            <w:hideMark/>
          </w:tcPr>
          <w:p w14:paraId="595B3B9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C09B4A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B63FEE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single" w:sz="4" w:space="0" w:color="auto"/>
              <w:left w:val="nil"/>
              <w:bottom w:val="double" w:sz="6" w:space="0" w:color="auto"/>
              <w:right w:val="nil"/>
            </w:tcBorders>
            <w:shd w:val="clear" w:color="auto" w:fill="auto"/>
            <w:noWrap/>
            <w:vAlign w:val="bottom"/>
            <w:hideMark/>
          </w:tcPr>
          <w:p w14:paraId="0636990C"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3,657,152 </w:t>
            </w:r>
          </w:p>
        </w:tc>
        <w:tc>
          <w:tcPr>
            <w:tcW w:w="0" w:type="auto"/>
            <w:tcBorders>
              <w:top w:val="single" w:sz="4" w:space="0" w:color="auto"/>
              <w:left w:val="nil"/>
              <w:bottom w:val="double" w:sz="6" w:space="0" w:color="auto"/>
              <w:right w:val="nil"/>
            </w:tcBorders>
            <w:shd w:val="clear" w:color="auto" w:fill="auto"/>
            <w:noWrap/>
            <w:vAlign w:val="bottom"/>
            <w:hideMark/>
          </w:tcPr>
          <w:p w14:paraId="779A0C84"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w:t>
            </w:r>
          </w:p>
        </w:tc>
        <w:tc>
          <w:tcPr>
            <w:tcW w:w="0" w:type="auto"/>
            <w:tcBorders>
              <w:top w:val="single" w:sz="4" w:space="0" w:color="auto"/>
              <w:left w:val="nil"/>
              <w:bottom w:val="double" w:sz="6" w:space="0" w:color="auto"/>
              <w:right w:val="nil"/>
            </w:tcBorders>
            <w:shd w:val="clear" w:color="auto" w:fill="auto"/>
            <w:noWrap/>
            <w:vAlign w:val="bottom"/>
            <w:hideMark/>
          </w:tcPr>
          <w:p w14:paraId="6BDF15C4"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1,933,254 </w:t>
            </w:r>
          </w:p>
        </w:tc>
      </w:tr>
    </w:tbl>
    <w:p w14:paraId="14818EA5" w14:textId="2822C523" w:rsidR="00DB2968" w:rsidRDefault="00DB2968" w:rsidP="0089653F">
      <w:pPr>
        <w:tabs>
          <w:tab w:val="left" w:pos="989"/>
        </w:tabs>
        <w:rPr>
          <w:rFonts w:asciiTheme="minorHAnsi" w:hAnsiTheme="minorHAnsi" w:cstheme="minorHAnsi"/>
          <w:sz w:val="20"/>
          <w:szCs w:val="20"/>
        </w:rPr>
      </w:pPr>
    </w:p>
    <w:p w14:paraId="58F1A98D" w14:textId="77777777" w:rsidR="00E50E6D" w:rsidRDefault="00E50E6D" w:rsidP="0089653F">
      <w:pPr>
        <w:tabs>
          <w:tab w:val="left" w:pos="989"/>
        </w:tabs>
        <w:rPr>
          <w:rFonts w:asciiTheme="minorHAnsi" w:hAnsiTheme="minorHAnsi" w:cstheme="minorHAnsi"/>
          <w:sz w:val="20"/>
          <w:szCs w:val="20"/>
        </w:rPr>
      </w:pPr>
    </w:p>
    <w:tbl>
      <w:tblPr>
        <w:tblW w:w="0" w:type="auto"/>
        <w:tblLook w:val="04A0" w:firstRow="1" w:lastRow="0" w:firstColumn="1" w:lastColumn="0" w:noHBand="0" w:noVBand="1"/>
      </w:tblPr>
      <w:tblGrid>
        <w:gridCol w:w="4442"/>
        <w:gridCol w:w="299"/>
        <w:gridCol w:w="1329"/>
        <w:gridCol w:w="272"/>
        <w:gridCol w:w="1440"/>
      </w:tblGrid>
      <w:tr w:rsidR="00937254" w:rsidRPr="00937254" w14:paraId="3F4034A2" w14:textId="77777777" w:rsidTr="00937254">
        <w:trPr>
          <w:trHeight w:val="300"/>
        </w:trPr>
        <w:tc>
          <w:tcPr>
            <w:tcW w:w="0" w:type="auto"/>
            <w:tcBorders>
              <w:top w:val="nil"/>
              <w:left w:val="nil"/>
              <w:bottom w:val="nil"/>
              <w:right w:val="nil"/>
            </w:tcBorders>
            <w:shd w:val="clear" w:color="auto" w:fill="auto"/>
            <w:noWrap/>
            <w:vAlign w:val="bottom"/>
            <w:hideMark/>
          </w:tcPr>
          <w:p w14:paraId="7207DBF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6. Trade and other payables</w:t>
            </w:r>
          </w:p>
        </w:tc>
        <w:tc>
          <w:tcPr>
            <w:tcW w:w="0" w:type="auto"/>
            <w:tcBorders>
              <w:top w:val="nil"/>
              <w:left w:val="nil"/>
              <w:bottom w:val="nil"/>
              <w:right w:val="nil"/>
            </w:tcBorders>
            <w:shd w:val="clear" w:color="auto" w:fill="auto"/>
            <w:noWrap/>
            <w:vAlign w:val="bottom"/>
            <w:hideMark/>
          </w:tcPr>
          <w:p w14:paraId="328D6F5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6F423E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F125EF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ED0E72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6D46649" w14:textId="77777777" w:rsidTr="00937254">
        <w:trPr>
          <w:trHeight w:val="300"/>
        </w:trPr>
        <w:tc>
          <w:tcPr>
            <w:tcW w:w="0" w:type="auto"/>
            <w:tcBorders>
              <w:top w:val="nil"/>
              <w:left w:val="nil"/>
              <w:bottom w:val="nil"/>
              <w:right w:val="nil"/>
            </w:tcBorders>
            <w:shd w:val="clear" w:color="auto" w:fill="auto"/>
            <w:noWrap/>
            <w:vAlign w:val="bottom"/>
            <w:hideMark/>
          </w:tcPr>
          <w:p w14:paraId="1D2FFB8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4D21BC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1B7F723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Unaudited</w:t>
            </w:r>
          </w:p>
        </w:tc>
        <w:tc>
          <w:tcPr>
            <w:tcW w:w="0" w:type="auto"/>
            <w:tcBorders>
              <w:top w:val="nil"/>
              <w:left w:val="nil"/>
              <w:bottom w:val="nil"/>
              <w:right w:val="nil"/>
            </w:tcBorders>
            <w:shd w:val="clear" w:color="auto" w:fill="auto"/>
            <w:noWrap/>
            <w:vAlign w:val="center"/>
            <w:hideMark/>
          </w:tcPr>
          <w:p w14:paraId="034C6253"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2464B73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Audited</w:t>
            </w:r>
          </w:p>
        </w:tc>
      </w:tr>
      <w:tr w:rsidR="00937254" w:rsidRPr="00937254" w14:paraId="21996F73" w14:textId="77777777" w:rsidTr="00937254">
        <w:trPr>
          <w:trHeight w:val="300"/>
        </w:trPr>
        <w:tc>
          <w:tcPr>
            <w:tcW w:w="0" w:type="auto"/>
            <w:tcBorders>
              <w:top w:val="nil"/>
              <w:left w:val="nil"/>
              <w:bottom w:val="nil"/>
              <w:right w:val="nil"/>
            </w:tcBorders>
            <w:shd w:val="clear" w:color="auto" w:fill="auto"/>
            <w:noWrap/>
            <w:vAlign w:val="bottom"/>
            <w:hideMark/>
          </w:tcPr>
          <w:p w14:paraId="5D64D1B0"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FCD3E9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7FE788D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31 July</w:t>
            </w:r>
          </w:p>
        </w:tc>
        <w:tc>
          <w:tcPr>
            <w:tcW w:w="0" w:type="auto"/>
            <w:tcBorders>
              <w:top w:val="nil"/>
              <w:left w:val="nil"/>
              <w:bottom w:val="nil"/>
              <w:right w:val="nil"/>
            </w:tcBorders>
            <w:shd w:val="clear" w:color="auto" w:fill="auto"/>
            <w:noWrap/>
            <w:vAlign w:val="center"/>
            <w:hideMark/>
          </w:tcPr>
          <w:p w14:paraId="70797359"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7E4B160A"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31 July</w:t>
            </w:r>
          </w:p>
        </w:tc>
      </w:tr>
      <w:tr w:rsidR="00937254" w:rsidRPr="00937254" w14:paraId="0B125766" w14:textId="77777777" w:rsidTr="00937254">
        <w:trPr>
          <w:trHeight w:val="300"/>
        </w:trPr>
        <w:tc>
          <w:tcPr>
            <w:tcW w:w="0" w:type="auto"/>
            <w:tcBorders>
              <w:top w:val="nil"/>
              <w:left w:val="nil"/>
              <w:bottom w:val="nil"/>
              <w:right w:val="nil"/>
            </w:tcBorders>
            <w:shd w:val="clear" w:color="auto" w:fill="auto"/>
            <w:noWrap/>
            <w:vAlign w:val="bottom"/>
            <w:hideMark/>
          </w:tcPr>
          <w:p w14:paraId="16556553"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651CCCC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center"/>
            <w:hideMark/>
          </w:tcPr>
          <w:p w14:paraId="1CE823BE"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2021</w:t>
            </w:r>
          </w:p>
        </w:tc>
        <w:tc>
          <w:tcPr>
            <w:tcW w:w="0" w:type="auto"/>
            <w:tcBorders>
              <w:top w:val="nil"/>
              <w:left w:val="nil"/>
              <w:bottom w:val="nil"/>
              <w:right w:val="nil"/>
            </w:tcBorders>
            <w:shd w:val="clear" w:color="auto" w:fill="auto"/>
            <w:noWrap/>
            <w:vAlign w:val="center"/>
            <w:hideMark/>
          </w:tcPr>
          <w:p w14:paraId="10AFEDC4"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48414574"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2020</w:t>
            </w:r>
          </w:p>
        </w:tc>
      </w:tr>
      <w:tr w:rsidR="00937254" w:rsidRPr="00937254" w14:paraId="75D3D239" w14:textId="77777777" w:rsidTr="00937254">
        <w:trPr>
          <w:trHeight w:val="300"/>
        </w:trPr>
        <w:tc>
          <w:tcPr>
            <w:tcW w:w="0" w:type="auto"/>
            <w:tcBorders>
              <w:top w:val="nil"/>
              <w:left w:val="nil"/>
              <w:bottom w:val="nil"/>
              <w:right w:val="nil"/>
            </w:tcBorders>
            <w:shd w:val="clear" w:color="auto" w:fill="auto"/>
            <w:noWrap/>
            <w:vAlign w:val="bottom"/>
            <w:hideMark/>
          </w:tcPr>
          <w:p w14:paraId="59AF98E1"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4088CBC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center"/>
            <w:hideMark/>
          </w:tcPr>
          <w:p w14:paraId="5AFD60B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c>
          <w:tcPr>
            <w:tcW w:w="0" w:type="auto"/>
            <w:tcBorders>
              <w:top w:val="nil"/>
              <w:left w:val="nil"/>
              <w:bottom w:val="nil"/>
              <w:right w:val="nil"/>
            </w:tcBorders>
            <w:shd w:val="clear" w:color="auto" w:fill="auto"/>
            <w:noWrap/>
            <w:vAlign w:val="bottom"/>
            <w:hideMark/>
          </w:tcPr>
          <w:p w14:paraId="457314E8"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6AF5E15E"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r>
      <w:tr w:rsidR="00937254" w:rsidRPr="00937254" w14:paraId="1F676117" w14:textId="77777777" w:rsidTr="00937254">
        <w:trPr>
          <w:trHeight w:val="300"/>
        </w:trPr>
        <w:tc>
          <w:tcPr>
            <w:tcW w:w="0" w:type="auto"/>
            <w:tcBorders>
              <w:top w:val="nil"/>
              <w:left w:val="nil"/>
              <w:bottom w:val="nil"/>
              <w:right w:val="nil"/>
            </w:tcBorders>
            <w:shd w:val="clear" w:color="auto" w:fill="auto"/>
            <w:noWrap/>
            <w:vAlign w:val="bottom"/>
            <w:hideMark/>
          </w:tcPr>
          <w:p w14:paraId="5A34D74E"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Trade payables</w:t>
            </w:r>
          </w:p>
        </w:tc>
        <w:tc>
          <w:tcPr>
            <w:tcW w:w="0" w:type="auto"/>
            <w:tcBorders>
              <w:top w:val="nil"/>
              <w:left w:val="nil"/>
              <w:bottom w:val="nil"/>
              <w:right w:val="nil"/>
            </w:tcBorders>
            <w:shd w:val="clear" w:color="auto" w:fill="auto"/>
            <w:noWrap/>
            <w:vAlign w:val="bottom"/>
            <w:hideMark/>
          </w:tcPr>
          <w:p w14:paraId="3834BC41"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5A26D930"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3,932,415 </w:t>
            </w:r>
          </w:p>
        </w:tc>
        <w:tc>
          <w:tcPr>
            <w:tcW w:w="0" w:type="auto"/>
            <w:tcBorders>
              <w:top w:val="nil"/>
              <w:left w:val="nil"/>
              <w:bottom w:val="nil"/>
              <w:right w:val="nil"/>
            </w:tcBorders>
            <w:shd w:val="clear" w:color="auto" w:fill="auto"/>
            <w:noWrap/>
            <w:vAlign w:val="bottom"/>
            <w:hideMark/>
          </w:tcPr>
          <w:p w14:paraId="1F66DC88"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48271BEE"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2,127,487 </w:t>
            </w:r>
          </w:p>
        </w:tc>
      </w:tr>
      <w:tr w:rsidR="00937254" w:rsidRPr="00937254" w14:paraId="4A83D72F" w14:textId="77777777" w:rsidTr="00937254">
        <w:trPr>
          <w:trHeight w:val="300"/>
        </w:trPr>
        <w:tc>
          <w:tcPr>
            <w:tcW w:w="0" w:type="auto"/>
            <w:tcBorders>
              <w:top w:val="nil"/>
              <w:left w:val="nil"/>
              <w:bottom w:val="nil"/>
              <w:right w:val="nil"/>
            </w:tcBorders>
            <w:shd w:val="clear" w:color="auto" w:fill="auto"/>
            <w:noWrap/>
            <w:vAlign w:val="bottom"/>
            <w:hideMark/>
          </w:tcPr>
          <w:p w14:paraId="5C046AD9"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Social security and other taxes</w:t>
            </w:r>
          </w:p>
        </w:tc>
        <w:tc>
          <w:tcPr>
            <w:tcW w:w="0" w:type="auto"/>
            <w:tcBorders>
              <w:top w:val="nil"/>
              <w:left w:val="nil"/>
              <w:bottom w:val="nil"/>
              <w:right w:val="nil"/>
            </w:tcBorders>
            <w:shd w:val="clear" w:color="auto" w:fill="auto"/>
            <w:noWrap/>
            <w:vAlign w:val="bottom"/>
            <w:hideMark/>
          </w:tcPr>
          <w:p w14:paraId="3083E93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w:t>
            </w:r>
          </w:p>
        </w:tc>
        <w:tc>
          <w:tcPr>
            <w:tcW w:w="0" w:type="auto"/>
            <w:tcBorders>
              <w:top w:val="nil"/>
              <w:left w:val="nil"/>
              <w:bottom w:val="nil"/>
              <w:right w:val="nil"/>
            </w:tcBorders>
            <w:shd w:val="clear" w:color="auto" w:fill="auto"/>
            <w:noWrap/>
            <w:vAlign w:val="bottom"/>
            <w:hideMark/>
          </w:tcPr>
          <w:p w14:paraId="4F96A96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3,455,130 </w:t>
            </w:r>
          </w:p>
        </w:tc>
        <w:tc>
          <w:tcPr>
            <w:tcW w:w="0" w:type="auto"/>
            <w:tcBorders>
              <w:top w:val="nil"/>
              <w:left w:val="nil"/>
              <w:bottom w:val="nil"/>
              <w:right w:val="nil"/>
            </w:tcBorders>
            <w:shd w:val="clear" w:color="auto" w:fill="auto"/>
            <w:noWrap/>
            <w:vAlign w:val="bottom"/>
            <w:hideMark/>
          </w:tcPr>
          <w:p w14:paraId="61EE1774"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606B614"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1,786,782 </w:t>
            </w:r>
          </w:p>
        </w:tc>
      </w:tr>
      <w:tr w:rsidR="00937254" w:rsidRPr="00937254" w14:paraId="3FFB5815" w14:textId="77777777" w:rsidTr="00937254">
        <w:trPr>
          <w:trHeight w:val="300"/>
        </w:trPr>
        <w:tc>
          <w:tcPr>
            <w:tcW w:w="0" w:type="auto"/>
            <w:tcBorders>
              <w:top w:val="nil"/>
              <w:left w:val="nil"/>
              <w:bottom w:val="nil"/>
              <w:right w:val="nil"/>
            </w:tcBorders>
            <w:shd w:val="clear" w:color="auto" w:fill="auto"/>
            <w:noWrap/>
            <w:vAlign w:val="bottom"/>
            <w:hideMark/>
          </w:tcPr>
          <w:p w14:paraId="3EE30F9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Outstanding defined contribution pension costs</w:t>
            </w:r>
          </w:p>
        </w:tc>
        <w:tc>
          <w:tcPr>
            <w:tcW w:w="0" w:type="auto"/>
            <w:tcBorders>
              <w:top w:val="nil"/>
              <w:left w:val="nil"/>
              <w:bottom w:val="nil"/>
              <w:right w:val="nil"/>
            </w:tcBorders>
            <w:shd w:val="clear" w:color="auto" w:fill="auto"/>
            <w:noWrap/>
            <w:vAlign w:val="bottom"/>
            <w:hideMark/>
          </w:tcPr>
          <w:p w14:paraId="27D94AA7"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5611B0BF"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54,820 </w:t>
            </w:r>
          </w:p>
        </w:tc>
        <w:tc>
          <w:tcPr>
            <w:tcW w:w="0" w:type="auto"/>
            <w:tcBorders>
              <w:top w:val="nil"/>
              <w:left w:val="nil"/>
              <w:bottom w:val="nil"/>
              <w:right w:val="nil"/>
            </w:tcBorders>
            <w:shd w:val="clear" w:color="auto" w:fill="auto"/>
            <w:noWrap/>
            <w:vAlign w:val="bottom"/>
            <w:hideMark/>
          </w:tcPr>
          <w:p w14:paraId="7FB6858C"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182E36DC"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50,352 </w:t>
            </w:r>
          </w:p>
        </w:tc>
      </w:tr>
      <w:tr w:rsidR="00937254" w:rsidRPr="00937254" w14:paraId="3CE131A1" w14:textId="77777777" w:rsidTr="00937254">
        <w:trPr>
          <w:trHeight w:val="300"/>
        </w:trPr>
        <w:tc>
          <w:tcPr>
            <w:tcW w:w="0" w:type="auto"/>
            <w:tcBorders>
              <w:top w:val="nil"/>
              <w:left w:val="nil"/>
              <w:bottom w:val="nil"/>
              <w:right w:val="nil"/>
            </w:tcBorders>
            <w:shd w:val="clear" w:color="auto" w:fill="auto"/>
            <w:noWrap/>
            <w:vAlign w:val="bottom"/>
            <w:hideMark/>
          </w:tcPr>
          <w:p w14:paraId="286F0661"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Other payables</w:t>
            </w:r>
          </w:p>
        </w:tc>
        <w:tc>
          <w:tcPr>
            <w:tcW w:w="0" w:type="auto"/>
            <w:tcBorders>
              <w:top w:val="nil"/>
              <w:left w:val="nil"/>
              <w:bottom w:val="nil"/>
              <w:right w:val="nil"/>
            </w:tcBorders>
            <w:shd w:val="clear" w:color="auto" w:fill="auto"/>
            <w:noWrap/>
            <w:vAlign w:val="bottom"/>
            <w:hideMark/>
          </w:tcPr>
          <w:p w14:paraId="46548E88"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34ECC256"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1,034,135 </w:t>
            </w:r>
          </w:p>
        </w:tc>
        <w:tc>
          <w:tcPr>
            <w:tcW w:w="0" w:type="auto"/>
            <w:tcBorders>
              <w:top w:val="nil"/>
              <w:left w:val="nil"/>
              <w:bottom w:val="nil"/>
              <w:right w:val="nil"/>
            </w:tcBorders>
            <w:shd w:val="clear" w:color="auto" w:fill="auto"/>
            <w:noWrap/>
            <w:vAlign w:val="bottom"/>
            <w:hideMark/>
          </w:tcPr>
          <w:p w14:paraId="79E8294B"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5A850A1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278,347 </w:t>
            </w:r>
          </w:p>
        </w:tc>
      </w:tr>
      <w:tr w:rsidR="00937254" w:rsidRPr="00937254" w14:paraId="2C407624" w14:textId="77777777" w:rsidTr="00937254">
        <w:trPr>
          <w:trHeight w:val="300"/>
        </w:trPr>
        <w:tc>
          <w:tcPr>
            <w:tcW w:w="0" w:type="auto"/>
            <w:tcBorders>
              <w:top w:val="nil"/>
              <w:left w:val="nil"/>
              <w:bottom w:val="nil"/>
              <w:right w:val="nil"/>
            </w:tcBorders>
            <w:shd w:val="clear" w:color="auto" w:fill="auto"/>
            <w:noWrap/>
            <w:vAlign w:val="bottom"/>
            <w:hideMark/>
          </w:tcPr>
          <w:p w14:paraId="2639D17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Accrued expenses</w:t>
            </w:r>
          </w:p>
        </w:tc>
        <w:tc>
          <w:tcPr>
            <w:tcW w:w="0" w:type="auto"/>
            <w:tcBorders>
              <w:top w:val="nil"/>
              <w:left w:val="nil"/>
              <w:bottom w:val="nil"/>
              <w:right w:val="nil"/>
            </w:tcBorders>
            <w:shd w:val="clear" w:color="auto" w:fill="auto"/>
            <w:noWrap/>
            <w:vAlign w:val="bottom"/>
            <w:hideMark/>
          </w:tcPr>
          <w:p w14:paraId="1324C1BB"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428E91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1,843,228 </w:t>
            </w:r>
          </w:p>
        </w:tc>
        <w:tc>
          <w:tcPr>
            <w:tcW w:w="0" w:type="auto"/>
            <w:tcBorders>
              <w:top w:val="nil"/>
              <w:left w:val="nil"/>
              <w:bottom w:val="nil"/>
              <w:right w:val="nil"/>
            </w:tcBorders>
            <w:shd w:val="clear" w:color="auto" w:fill="auto"/>
            <w:noWrap/>
            <w:vAlign w:val="bottom"/>
            <w:hideMark/>
          </w:tcPr>
          <w:p w14:paraId="30820B9E"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804691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1,860,015 </w:t>
            </w:r>
          </w:p>
        </w:tc>
      </w:tr>
      <w:tr w:rsidR="00937254" w:rsidRPr="00937254" w14:paraId="3C6A4053" w14:textId="77777777" w:rsidTr="00937254">
        <w:trPr>
          <w:trHeight w:val="300"/>
        </w:trPr>
        <w:tc>
          <w:tcPr>
            <w:tcW w:w="0" w:type="auto"/>
            <w:tcBorders>
              <w:top w:val="nil"/>
              <w:left w:val="nil"/>
              <w:bottom w:val="nil"/>
              <w:right w:val="nil"/>
            </w:tcBorders>
            <w:shd w:val="clear" w:color="auto" w:fill="auto"/>
            <w:noWrap/>
            <w:vAlign w:val="bottom"/>
            <w:hideMark/>
          </w:tcPr>
          <w:p w14:paraId="4001144D"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0474A3E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9C12EF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3335CDF"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47EB81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113EBDBD" w14:textId="77777777" w:rsidTr="00937254">
        <w:trPr>
          <w:trHeight w:val="315"/>
        </w:trPr>
        <w:tc>
          <w:tcPr>
            <w:tcW w:w="0" w:type="auto"/>
            <w:tcBorders>
              <w:top w:val="nil"/>
              <w:left w:val="nil"/>
              <w:bottom w:val="nil"/>
              <w:right w:val="nil"/>
            </w:tcBorders>
            <w:shd w:val="clear" w:color="auto" w:fill="auto"/>
            <w:noWrap/>
            <w:vAlign w:val="bottom"/>
            <w:hideMark/>
          </w:tcPr>
          <w:p w14:paraId="5332798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26C436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single" w:sz="4" w:space="0" w:color="auto"/>
              <w:left w:val="nil"/>
              <w:bottom w:val="double" w:sz="6" w:space="0" w:color="auto"/>
              <w:right w:val="nil"/>
            </w:tcBorders>
            <w:shd w:val="clear" w:color="auto" w:fill="auto"/>
            <w:noWrap/>
            <w:vAlign w:val="bottom"/>
            <w:hideMark/>
          </w:tcPr>
          <w:p w14:paraId="1E626B5C"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10,319,728 </w:t>
            </w:r>
          </w:p>
        </w:tc>
        <w:tc>
          <w:tcPr>
            <w:tcW w:w="0" w:type="auto"/>
            <w:tcBorders>
              <w:top w:val="single" w:sz="4" w:space="0" w:color="auto"/>
              <w:left w:val="nil"/>
              <w:bottom w:val="double" w:sz="6" w:space="0" w:color="auto"/>
              <w:right w:val="nil"/>
            </w:tcBorders>
            <w:shd w:val="clear" w:color="auto" w:fill="auto"/>
            <w:noWrap/>
            <w:vAlign w:val="bottom"/>
            <w:hideMark/>
          </w:tcPr>
          <w:p w14:paraId="40BD70F4"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w:t>
            </w:r>
          </w:p>
        </w:tc>
        <w:tc>
          <w:tcPr>
            <w:tcW w:w="0" w:type="auto"/>
            <w:tcBorders>
              <w:top w:val="single" w:sz="4" w:space="0" w:color="auto"/>
              <w:left w:val="nil"/>
              <w:bottom w:val="double" w:sz="6" w:space="0" w:color="auto"/>
              <w:right w:val="nil"/>
            </w:tcBorders>
            <w:shd w:val="clear" w:color="auto" w:fill="auto"/>
            <w:noWrap/>
            <w:vAlign w:val="bottom"/>
            <w:hideMark/>
          </w:tcPr>
          <w:p w14:paraId="3EA313E3"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6,102,983 </w:t>
            </w:r>
          </w:p>
        </w:tc>
      </w:tr>
      <w:tr w:rsidR="00937254" w:rsidRPr="00937254" w14:paraId="63E0474D" w14:textId="77777777" w:rsidTr="00937254">
        <w:trPr>
          <w:trHeight w:val="315"/>
        </w:trPr>
        <w:tc>
          <w:tcPr>
            <w:tcW w:w="0" w:type="auto"/>
            <w:tcBorders>
              <w:top w:val="nil"/>
              <w:left w:val="nil"/>
              <w:bottom w:val="nil"/>
              <w:right w:val="nil"/>
            </w:tcBorders>
            <w:shd w:val="clear" w:color="auto" w:fill="auto"/>
            <w:noWrap/>
            <w:vAlign w:val="bottom"/>
            <w:hideMark/>
          </w:tcPr>
          <w:p w14:paraId="2F01C01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132462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0BA61A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940CD2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60C608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68B1F51" w14:textId="77777777" w:rsidTr="00937254">
        <w:trPr>
          <w:trHeight w:val="300"/>
        </w:trPr>
        <w:tc>
          <w:tcPr>
            <w:tcW w:w="0" w:type="auto"/>
            <w:gridSpan w:val="2"/>
            <w:tcBorders>
              <w:top w:val="nil"/>
              <w:left w:val="nil"/>
              <w:bottom w:val="nil"/>
              <w:right w:val="nil"/>
            </w:tcBorders>
            <w:shd w:val="clear" w:color="auto" w:fill="auto"/>
            <w:noWrap/>
            <w:vAlign w:val="bottom"/>
            <w:hideMark/>
          </w:tcPr>
          <w:p w14:paraId="2E1C4584" w14:textId="77777777" w:rsidR="00937254" w:rsidRPr="00937254" w:rsidRDefault="00937254" w:rsidP="00937254">
            <w:pPr>
              <w:widowControl/>
              <w:autoSpaceDE/>
              <w:autoSpaceDN/>
              <w:rPr>
                <w:rFonts w:eastAsia="Times New Roman"/>
                <w:color w:val="000000"/>
                <w:lang w:bidi="ar-SA"/>
              </w:rPr>
            </w:pPr>
            <w:r w:rsidRPr="00937254">
              <w:rPr>
                <w:rFonts w:eastAsia="Times New Roman"/>
                <w:color w:val="000000"/>
                <w:lang w:bidi="ar-SA"/>
              </w:rPr>
              <w:t>* Includes amounts payable in more than one year</w:t>
            </w:r>
          </w:p>
        </w:tc>
        <w:tc>
          <w:tcPr>
            <w:tcW w:w="0" w:type="auto"/>
            <w:tcBorders>
              <w:top w:val="nil"/>
              <w:left w:val="nil"/>
              <w:bottom w:val="nil"/>
              <w:right w:val="nil"/>
            </w:tcBorders>
            <w:shd w:val="clear" w:color="auto" w:fill="auto"/>
            <w:noWrap/>
            <w:vAlign w:val="bottom"/>
            <w:hideMark/>
          </w:tcPr>
          <w:p w14:paraId="0DA3AC0D" w14:textId="77777777" w:rsidR="00937254" w:rsidRPr="00937254" w:rsidRDefault="00937254" w:rsidP="00937254">
            <w:pPr>
              <w:widowControl/>
              <w:autoSpaceDE/>
              <w:autoSpaceDN/>
              <w:rPr>
                <w:rFonts w:eastAsia="Times New Roman"/>
                <w:color w:val="000000"/>
                <w:lang w:bidi="ar-SA"/>
              </w:rPr>
            </w:pPr>
          </w:p>
        </w:tc>
        <w:tc>
          <w:tcPr>
            <w:tcW w:w="0" w:type="auto"/>
            <w:tcBorders>
              <w:top w:val="nil"/>
              <w:left w:val="nil"/>
              <w:bottom w:val="nil"/>
              <w:right w:val="nil"/>
            </w:tcBorders>
            <w:shd w:val="clear" w:color="auto" w:fill="auto"/>
            <w:noWrap/>
            <w:vAlign w:val="bottom"/>
            <w:hideMark/>
          </w:tcPr>
          <w:p w14:paraId="5B0C330E"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E0F931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bl>
    <w:p w14:paraId="366C5D50" w14:textId="764496D5" w:rsidR="00DB2968" w:rsidRDefault="00DB2968" w:rsidP="0089653F">
      <w:pPr>
        <w:tabs>
          <w:tab w:val="left" w:pos="989"/>
        </w:tabs>
        <w:rPr>
          <w:rFonts w:asciiTheme="minorHAnsi" w:hAnsiTheme="minorHAnsi" w:cstheme="minorHAnsi"/>
          <w:sz w:val="20"/>
          <w:szCs w:val="20"/>
        </w:rPr>
      </w:pPr>
    </w:p>
    <w:p w14:paraId="405B623D" w14:textId="612A95BC" w:rsidR="00DB2968" w:rsidRDefault="00DB2968" w:rsidP="0089653F">
      <w:pPr>
        <w:tabs>
          <w:tab w:val="left" w:pos="989"/>
        </w:tabs>
        <w:rPr>
          <w:rFonts w:asciiTheme="minorHAnsi" w:hAnsiTheme="minorHAnsi" w:cstheme="minorHAnsi"/>
          <w:sz w:val="20"/>
          <w:szCs w:val="20"/>
        </w:rPr>
      </w:pPr>
    </w:p>
    <w:p w14:paraId="39BF391F" w14:textId="3EF2D003" w:rsidR="00DB2968" w:rsidRDefault="00DB2968" w:rsidP="0089653F">
      <w:pPr>
        <w:tabs>
          <w:tab w:val="left" w:pos="989"/>
        </w:tabs>
        <w:rPr>
          <w:rFonts w:asciiTheme="minorHAnsi" w:hAnsiTheme="minorHAnsi" w:cstheme="minorHAnsi"/>
          <w:sz w:val="20"/>
          <w:szCs w:val="20"/>
        </w:rPr>
      </w:pPr>
    </w:p>
    <w:p w14:paraId="0422CE3F" w14:textId="464F017B" w:rsidR="00DF22CE" w:rsidRDefault="00DF22CE" w:rsidP="0089653F">
      <w:pPr>
        <w:tabs>
          <w:tab w:val="left" w:pos="989"/>
        </w:tabs>
        <w:rPr>
          <w:rFonts w:asciiTheme="minorHAnsi" w:hAnsiTheme="minorHAnsi" w:cstheme="minorHAnsi"/>
          <w:sz w:val="20"/>
          <w:szCs w:val="20"/>
        </w:rPr>
      </w:pPr>
    </w:p>
    <w:p w14:paraId="5FF8A72B" w14:textId="61321481" w:rsidR="00DF22CE" w:rsidRDefault="00DF22CE" w:rsidP="0089653F">
      <w:pPr>
        <w:tabs>
          <w:tab w:val="left" w:pos="989"/>
        </w:tabs>
        <w:rPr>
          <w:rFonts w:asciiTheme="minorHAnsi" w:hAnsiTheme="minorHAnsi" w:cstheme="minorHAnsi"/>
          <w:sz w:val="20"/>
          <w:szCs w:val="20"/>
        </w:rPr>
      </w:pPr>
    </w:p>
    <w:p w14:paraId="59498AAE" w14:textId="755A0BAD" w:rsidR="00DF22CE" w:rsidRDefault="00DF22CE" w:rsidP="0089653F">
      <w:pPr>
        <w:tabs>
          <w:tab w:val="left" w:pos="989"/>
        </w:tabs>
        <w:rPr>
          <w:rFonts w:asciiTheme="minorHAnsi" w:hAnsiTheme="minorHAnsi" w:cstheme="minorHAnsi"/>
          <w:sz w:val="20"/>
          <w:szCs w:val="20"/>
        </w:rPr>
      </w:pPr>
    </w:p>
    <w:p w14:paraId="1A7EDD37" w14:textId="0FF95A14" w:rsidR="00DF22CE" w:rsidRDefault="00DF22CE" w:rsidP="0089653F">
      <w:pPr>
        <w:tabs>
          <w:tab w:val="left" w:pos="989"/>
        </w:tabs>
        <w:rPr>
          <w:rFonts w:asciiTheme="minorHAnsi" w:hAnsiTheme="minorHAnsi" w:cstheme="minorHAnsi"/>
          <w:sz w:val="20"/>
          <w:szCs w:val="20"/>
        </w:rPr>
      </w:pPr>
    </w:p>
    <w:p w14:paraId="6C017599" w14:textId="0F09619A" w:rsidR="00DF22CE" w:rsidRDefault="00DF22CE" w:rsidP="0089653F">
      <w:pPr>
        <w:tabs>
          <w:tab w:val="left" w:pos="989"/>
        </w:tabs>
        <w:rPr>
          <w:rFonts w:asciiTheme="minorHAnsi" w:hAnsiTheme="minorHAnsi" w:cstheme="minorHAnsi"/>
          <w:sz w:val="20"/>
          <w:szCs w:val="20"/>
        </w:rPr>
      </w:pPr>
    </w:p>
    <w:p w14:paraId="75F1FD86" w14:textId="5F9800CD" w:rsidR="00DF22CE" w:rsidRDefault="00DF22CE" w:rsidP="0089653F">
      <w:pPr>
        <w:tabs>
          <w:tab w:val="left" w:pos="989"/>
        </w:tabs>
        <w:rPr>
          <w:rFonts w:asciiTheme="minorHAnsi" w:hAnsiTheme="minorHAnsi" w:cstheme="minorHAnsi"/>
          <w:sz w:val="20"/>
          <w:szCs w:val="20"/>
        </w:rPr>
      </w:pPr>
    </w:p>
    <w:p w14:paraId="6563B3E1" w14:textId="3CF89ECC" w:rsidR="00DF22CE" w:rsidRDefault="00DF22CE" w:rsidP="0089653F">
      <w:pPr>
        <w:tabs>
          <w:tab w:val="left" w:pos="989"/>
        </w:tabs>
        <w:rPr>
          <w:rFonts w:asciiTheme="minorHAnsi" w:hAnsiTheme="minorHAnsi" w:cstheme="minorHAnsi"/>
          <w:sz w:val="20"/>
          <w:szCs w:val="20"/>
        </w:rPr>
      </w:pPr>
    </w:p>
    <w:p w14:paraId="28F0CCB5" w14:textId="38E9F201" w:rsidR="00DF22CE" w:rsidRDefault="00DF22CE" w:rsidP="0089653F">
      <w:pPr>
        <w:tabs>
          <w:tab w:val="left" w:pos="989"/>
        </w:tabs>
        <w:rPr>
          <w:rFonts w:asciiTheme="minorHAnsi" w:hAnsiTheme="minorHAnsi" w:cstheme="minorHAnsi"/>
          <w:sz w:val="20"/>
          <w:szCs w:val="20"/>
        </w:rPr>
      </w:pPr>
    </w:p>
    <w:p w14:paraId="01F5D753" w14:textId="4F523F27" w:rsidR="00DF22CE" w:rsidRDefault="00DF22CE" w:rsidP="0089653F">
      <w:pPr>
        <w:tabs>
          <w:tab w:val="left" w:pos="989"/>
        </w:tabs>
        <w:rPr>
          <w:rFonts w:asciiTheme="minorHAnsi" w:hAnsiTheme="minorHAnsi" w:cstheme="minorHAnsi"/>
          <w:sz w:val="20"/>
          <w:szCs w:val="20"/>
        </w:rPr>
      </w:pPr>
    </w:p>
    <w:p w14:paraId="214D9742" w14:textId="38B09286" w:rsidR="00DF22CE" w:rsidRDefault="00DF22CE" w:rsidP="0089653F">
      <w:pPr>
        <w:tabs>
          <w:tab w:val="left" w:pos="989"/>
        </w:tabs>
        <w:rPr>
          <w:rFonts w:asciiTheme="minorHAnsi" w:hAnsiTheme="minorHAnsi" w:cstheme="minorHAnsi"/>
          <w:sz w:val="20"/>
          <w:szCs w:val="20"/>
        </w:rPr>
      </w:pPr>
    </w:p>
    <w:p w14:paraId="68F1E675" w14:textId="23231728" w:rsidR="00DF22CE" w:rsidRDefault="00DF22CE" w:rsidP="0089653F">
      <w:pPr>
        <w:tabs>
          <w:tab w:val="left" w:pos="989"/>
        </w:tabs>
        <w:rPr>
          <w:rFonts w:asciiTheme="minorHAnsi" w:hAnsiTheme="minorHAnsi" w:cstheme="minorHAnsi"/>
          <w:sz w:val="20"/>
          <w:szCs w:val="20"/>
        </w:rPr>
      </w:pPr>
    </w:p>
    <w:p w14:paraId="143C2EA7" w14:textId="63D67D54" w:rsidR="00DF22CE" w:rsidRDefault="00DF22CE" w:rsidP="0089653F">
      <w:pPr>
        <w:tabs>
          <w:tab w:val="left" w:pos="989"/>
        </w:tabs>
        <w:rPr>
          <w:rFonts w:asciiTheme="minorHAnsi" w:hAnsiTheme="minorHAnsi" w:cstheme="minorHAnsi"/>
          <w:sz w:val="20"/>
          <w:szCs w:val="20"/>
        </w:rPr>
      </w:pPr>
    </w:p>
    <w:p w14:paraId="3692F65A" w14:textId="3F01B7AF" w:rsidR="00DF22CE" w:rsidRDefault="00DF22CE" w:rsidP="0089653F">
      <w:pPr>
        <w:tabs>
          <w:tab w:val="left" w:pos="989"/>
        </w:tabs>
        <w:rPr>
          <w:rFonts w:asciiTheme="minorHAnsi" w:hAnsiTheme="minorHAnsi" w:cstheme="minorHAnsi"/>
          <w:sz w:val="20"/>
          <w:szCs w:val="20"/>
        </w:rPr>
      </w:pPr>
    </w:p>
    <w:p w14:paraId="3FF07803" w14:textId="60C823E7" w:rsidR="00DF22CE" w:rsidRDefault="00DF22CE" w:rsidP="0089653F">
      <w:pPr>
        <w:tabs>
          <w:tab w:val="left" w:pos="989"/>
        </w:tabs>
        <w:rPr>
          <w:rFonts w:asciiTheme="minorHAnsi" w:hAnsiTheme="minorHAnsi" w:cstheme="minorHAnsi"/>
          <w:sz w:val="20"/>
          <w:szCs w:val="20"/>
        </w:rPr>
      </w:pPr>
    </w:p>
    <w:p w14:paraId="79164755" w14:textId="66BB6FBA" w:rsidR="00CF27FB" w:rsidRDefault="00CF27FB" w:rsidP="0089653F">
      <w:pPr>
        <w:tabs>
          <w:tab w:val="left" w:pos="989"/>
        </w:tabs>
        <w:rPr>
          <w:rFonts w:asciiTheme="minorHAnsi" w:hAnsiTheme="minorHAnsi" w:cstheme="minorHAnsi"/>
          <w:sz w:val="20"/>
          <w:szCs w:val="20"/>
        </w:rPr>
      </w:pPr>
    </w:p>
    <w:p w14:paraId="3FBA297B" w14:textId="63D637A3" w:rsidR="00CF27FB" w:rsidRDefault="00CF27FB" w:rsidP="0089653F">
      <w:pPr>
        <w:tabs>
          <w:tab w:val="left" w:pos="989"/>
        </w:tabs>
        <w:rPr>
          <w:rFonts w:asciiTheme="minorHAnsi" w:hAnsiTheme="minorHAnsi" w:cstheme="minorHAnsi"/>
          <w:sz w:val="20"/>
          <w:szCs w:val="20"/>
        </w:rPr>
      </w:pPr>
    </w:p>
    <w:p w14:paraId="2C214DE5" w14:textId="14B61054" w:rsidR="00CF27FB" w:rsidRDefault="00CF27FB" w:rsidP="0089653F">
      <w:pPr>
        <w:tabs>
          <w:tab w:val="left" w:pos="989"/>
        </w:tabs>
        <w:rPr>
          <w:rFonts w:asciiTheme="minorHAnsi" w:hAnsiTheme="minorHAnsi" w:cstheme="minorHAnsi"/>
          <w:sz w:val="20"/>
          <w:szCs w:val="20"/>
        </w:rPr>
      </w:pPr>
    </w:p>
    <w:p w14:paraId="279D1A98" w14:textId="5111F5E9" w:rsidR="00CF27FB" w:rsidRDefault="00CF27FB" w:rsidP="0089653F">
      <w:pPr>
        <w:tabs>
          <w:tab w:val="left" w:pos="989"/>
        </w:tabs>
        <w:rPr>
          <w:rFonts w:asciiTheme="minorHAnsi" w:hAnsiTheme="minorHAnsi" w:cstheme="minorHAnsi"/>
          <w:sz w:val="20"/>
          <w:szCs w:val="20"/>
        </w:rPr>
      </w:pPr>
    </w:p>
    <w:p w14:paraId="3913CA6E" w14:textId="4749AF2F" w:rsidR="00CF27FB" w:rsidRDefault="00CF27FB" w:rsidP="0089653F">
      <w:pPr>
        <w:tabs>
          <w:tab w:val="left" w:pos="989"/>
        </w:tabs>
        <w:rPr>
          <w:rFonts w:asciiTheme="minorHAnsi" w:hAnsiTheme="minorHAnsi" w:cstheme="minorHAnsi"/>
          <w:sz w:val="20"/>
          <w:szCs w:val="20"/>
        </w:rPr>
      </w:pPr>
    </w:p>
    <w:p w14:paraId="70D27404" w14:textId="54B9A467" w:rsidR="00CF27FB" w:rsidRDefault="00CF27FB" w:rsidP="0089653F">
      <w:pPr>
        <w:tabs>
          <w:tab w:val="left" w:pos="989"/>
        </w:tabs>
        <w:rPr>
          <w:rFonts w:asciiTheme="minorHAnsi" w:hAnsiTheme="minorHAnsi" w:cstheme="minorHAnsi"/>
          <w:sz w:val="20"/>
          <w:szCs w:val="20"/>
        </w:rPr>
      </w:pPr>
    </w:p>
    <w:p w14:paraId="70E4F36F" w14:textId="1A5BD85F" w:rsidR="00CF27FB" w:rsidRDefault="00CF27FB" w:rsidP="0089653F">
      <w:pPr>
        <w:tabs>
          <w:tab w:val="left" w:pos="989"/>
        </w:tabs>
        <w:rPr>
          <w:rFonts w:asciiTheme="minorHAnsi" w:hAnsiTheme="minorHAnsi" w:cstheme="minorHAnsi"/>
          <w:sz w:val="20"/>
          <w:szCs w:val="20"/>
        </w:rPr>
      </w:pPr>
    </w:p>
    <w:p w14:paraId="50886F7B" w14:textId="77777777" w:rsidR="00CF27FB" w:rsidRDefault="00CF27FB" w:rsidP="0089653F">
      <w:pPr>
        <w:tabs>
          <w:tab w:val="left" w:pos="989"/>
        </w:tabs>
        <w:rPr>
          <w:rFonts w:asciiTheme="minorHAnsi" w:hAnsiTheme="minorHAnsi" w:cstheme="minorHAnsi"/>
          <w:sz w:val="20"/>
          <w:szCs w:val="20"/>
        </w:rPr>
      </w:pPr>
    </w:p>
    <w:p w14:paraId="29B0F2CB" w14:textId="045F270C" w:rsidR="00DF22CE" w:rsidRDefault="00DF22CE" w:rsidP="0089653F">
      <w:pPr>
        <w:tabs>
          <w:tab w:val="left" w:pos="989"/>
        </w:tabs>
        <w:rPr>
          <w:rFonts w:asciiTheme="minorHAnsi" w:hAnsiTheme="minorHAnsi" w:cstheme="minorHAnsi"/>
          <w:sz w:val="20"/>
          <w:szCs w:val="20"/>
        </w:rPr>
      </w:pPr>
    </w:p>
    <w:tbl>
      <w:tblPr>
        <w:tblW w:w="0" w:type="auto"/>
        <w:tblLook w:val="04A0" w:firstRow="1" w:lastRow="0" w:firstColumn="1" w:lastColumn="0" w:noHBand="0" w:noVBand="1"/>
      </w:tblPr>
      <w:tblGrid>
        <w:gridCol w:w="2906"/>
        <w:gridCol w:w="1661"/>
        <w:gridCol w:w="272"/>
        <w:gridCol w:w="1329"/>
      </w:tblGrid>
      <w:tr w:rsidR="00937254" w:rsidRPr="00937254" w14:paraId="3AFF6840" w14:textId="77777777" w:rsidTr="00937254">
        <w:trPr>
          <w:trHeight w:val="300"/>
        </w:trPr>
        <w:tc>
          <w:tcPr>
            <w:tcW w:w="0" w:type="auto"/>
            <w:tcBorders>
              <w:top w:val="nil"/>
              <w:left w:val="nil"/>
              <w:bottom w:val="nil"/>
              <w:right w:val="nil"/>
            </w:tcBorders>
            <w:shd w:val="clear" w:color="auto" w:fill="auto"/>
            <w:noWrap/>
            <w:vAlign w:val="bottom"/>
            <w:hideMark/>
          </w:tcPr>
          <w:p w14:paraId="2A94F439"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7. Financial liabilities</w:t>
            </w:r>
          </w:p>
        </w:tc>
        <w:tc>
          <w:tcPr>
            <w:tcW w:w="0" w:type="auto"/>
            <w:tcBorders>
              <w:top w:val="nil"/>
              <w:left w:val="nil"/>
              <w:bottom w:val="nil"/>
              <w:right w:val="nil"/>
            </w:tcBorders>
            <w:shd w:val="clear" w:color="auto" w:fill="auto"/>
            <w:noWrap/>
            <w:vAlign w:val="bottom"/>
            <w:hideMark/>
          </w:tcPr>
          <w:p w14:paraId="2F69E5C8"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0CA0F08B"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538B18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7C8960F" w14:textId="77777777" w:rsidTr="00937254">
        <w:trPr>
          <w:trHeight w:val="525"/>
        </w:trPr>
        <w:tc>
          <w:tcPr>
            <w:tcW w:w="0" w:type="auto"/>
            <w:tcBorders>
              <w:top w:val="nil"/>
              <w:left w:val="nil"/>
              <w:bottom w:val="nil"/>
              <w:right w:val="nil"/>
            </w:tcBorders>
            <w:shd w:val="clear" w:color="auto" w:fill="auto"/>
            <w:noWrap/>
            <w:vAlign w:val="bottom"/>
            <w:hideMark/>
          </w:tcPr>
          <w:p w14:paraId="734F41C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vAlign w:val="bottom"/>
            <w:hideMark/>
          </w:tcPr>
          <w:p w14:paraId="429B6A07"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Twelve months</w:t>
            </w:r>
          </w:p>
        </w:tc>
        <w:tc>
          <w:tcPr>
            <w:tcW w:w="0" w:type="auto"/>
            <w:tcBorders>
              <w:top w:val="nil"/>
              <w:left w:val="nil"/>
              <w:bottom w:val="nil"/>
              <w:right w:val="nil"/>
            </w:tcBorders>
            <w:shd w:val="clear" w:color="auto" w:fill="auto"/>
            <w:vAlign w:val="bottom"/>
            <w:hideMark/>
          </w:tcPr>
          <w:p w14:paraId="5F3F566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bottom"/>
            <w:hideMark/>
          </w:tcPr>
          <w:p w14:paraId="1BE2685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Year ended</w:t>
            </w:r>
          </w:p>
        </w:tc>
      </w:tr>
      <w:tr w:rsidR="00937254" w:rsidRPr="00937254" w14:paraId="3FA7DDE7" w14:textId="77777777" w:rsidTr="00937254">
        <w:trPr>
          <w:trHeight w:val="525"/>
        </w:trPr>
        <w:tc>
          <w:tcPr>
            <w:tcW w:w="0" w:type="auto"/>
            <w:tcBorders>
              <w:top w:val="nil"/>
              <w:left w:val="nil"/>
              <w:bottom w:val="nil"/>
              <w:right w:val="nil"/>
            </w:tcBorders>
            <w:shd w:val="clear" w:color="auto" w:fill="auto"/>
            <w:noWrap/>
            <w:vAlign w:val="bottom"/>
            <w:hideMark/>
          </w:tcPr>
          <w:p w14:paraId="4531A4DA"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bottom"/>
            <w:hideMark/>
          </w:tcPr>
          <w:p w14:paraId="1C8E0C2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ended 31 July</w:t>
            </w:r>
          </w:p>
        </w:tc>
        <w:tc>
          <w:tcPr>
            <w:tcW w:w="0" w:type="auto"/>
            <w:tcBorders>
              <w:top w:val="nil"/>
              <w:left w:val="nil"/>
              <w:bottom w:val="nil"/>
              <w:right w:val="nil"/>
            </w:tcBorders>
            <w:shd w:val="clear" w:color="auto" w:fill="auto"/>
            <w:vAlign w:val="bottom"/>
            <w:hideMark/>
          </w:tcPr>
          <w:p w14:paraId="1074D63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bottom"/>
            <w:hideMark/>
          </w:tcPr>
          <w:p w14:paraId="6D49B4BE"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31 July</w:t>
            </w:r>
          </w:p>
        </w:tc>
      </w:tr>
      <w:tr w:rsidR="00937254" w:rsidRPr="00937254" w14:paraId="353EB5DC" w14:textId="77777777" w:rsidTr="00937254">
        <w:trPr>
          <w:trHeight w:val="300"/>
        </w:trPr>
        <w:tc>
          <w:tcPr>
            <w:tcW w:w="0" w:type="auto"/>
            <w:tcBorders>
              <w:top w:val="nil"/>
              <w:left w:val="nil"/>
              <w:bottom w:val="nil"/>
              <w:right w:val="nil"/>
            </w:tcBorders>
            <w:shd w:val="clear" w:color="auto" w:fill="auto"/>
            <w:noWrap/>
            <w:vAlign w:val="bottom"/>
            <w:hideMark/>
          </w:tcPr>
          <w:p w14:paraId="25F8AA95"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4FB4CA6E"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2021</w:t>
            </w:r>
          </w:p>
        </w:tc>
        <w:tc>
          <w:tcPr>
            <w:tcW w:w="0" w:type="auto"/>
            <w:tcBorders>
              <w:top w:val="nil"/>
              <w:left w:val="nil"/>
              <w:bottom w:val="nil"/>
              <w:right w:val="nil"/>
            </w:tcBorders>
            <w:shd w:val="clear" w:color="auto" w:fill="auto"/>
            <w:noWrap/>
            <w:vAlign w:val="center"/>
            <w:hideMark/>
          </w:tcPr>
          <w:p w14:paraId="65C6AF8E"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center"/>
            <w:hideMark/>
          </w:tcPr>
          <w:p w14:paraId="1249D360"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2020</w:t>
            </w:r>
          </w:p>
        </w:tc>
      </w:tr>
      <w:tr w:rsidR="00937254" w:rsidRPr="00937254" w14:paraId="00B936AF" w14:textId="77777777" w:rsidTr="00937254">
        <w:trPr>
          <w:trHeight w:val="300"/>
        </w:trPr>
        <w:tc>
          <w:tcPr>
            <w:tcW w:w="0" w:type="auto"/>
            <w:tcBorders>
              <w:top w:val="nil"/>
              <w:left w:val="nil"/>
              <w:bottom w:val="nil"/>
              <w:right w:val="nil"/>
            </w:tcBorders>
            <w:shd w:val="clear" w:color="auto" w:fill="auto"/>
            <w:noWrap/>
            <w:vAlign w:val="bottom"/>
            <w:hideMark/>
          </w:tcPr>
          <w:p w14:paraId="41D3844D"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6A874D78"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Unaudited</w:t>
            </w:r>
          </w:p>
        </w:tc>
        <w:tc>
          <w:tcPr>
            <w:tcW w:w="0" w:type="auto"/>
            <w:tcBorders>
              <w:top w:val="nil"/>
              <w:left w:val="nil"/>
              <w:bottom w:val="nil"/>
              <w:right w:val="nil"/>
            </w:tcBorders>
            <w:shd w:val="clear" w:color="auto" w:fill="auto"/>
            <w:noWrap/>
            <w:vAlign w:val="bottom"/>
            <w:hideMark/>
          </w:tcPr>
          <w:p w14:paraId="63B3EA14"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0827FA47"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Audited</w:t>
            </w:r>
          </w:p>
        </w:tc>
      </w:tr>
      <w:tr w:rsidR="00937254" w:rsidRPr="00937254" w14:paraId="1C91E769" w14:textId="77777777" w:rsidTr="00937254">
        <w:trPr>
          <w:trHeight w:val="300"/>
        </w:trPr>
        <w:tc>
          <w:tcPr>
            <w:tcW w:w="0" w:type="auto"/>
            <w:tcBorders>
              <w:top w:val="nil"/>
              <w:left w:val="nil"/>
              <w:bottom w:val="nil"/>
              <w:right w:val="nil"/>
            </w:tcBorders>
            <w:shd w:val="clear" w:color="auto" w:fill="auto"/>
            <w:noWrap/>
            <w:vAlign w:val="bottom"/>
            <w:hideMark/>
          </w:tcPr>
          <w:p w14:paraId="5C73969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5964EF7A"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c>
          <w:tcPr>
            <w:tcW w:w="0" w:type="auto"/>
            <w:tcBorders>
              <w:top w:val="nil"/>
              <w:left w:val="nil"/>
              <w:bottom w:val="nil"/>
              <w:right w:val="nil"/>
            </w:tcBorders>
            <w:shd w:val="clear" w:color="auto" w:fill="auto"/>
            <w:noWrap/>
            <w:vAlign w:val="bottom"/>
            <w:hideMark/>
          </w:tcPr>
          <w:p w14:paraId="104411B6"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vAlign w:val="center"/>
            <w:hideMark/>
          </w:tcPr>
          <w:p w14:paraId="1E68264C" w14:textId="77777777" w:rsidR="00937254" w:rsidRPr="00937254" w:rsidRDefault="00937254" w:rsidP="00937254">
            <w:pPr>
              <w:widowControl/>
              <w:autoSpaceDE/>
              <w:autoSpaceDN/>
              <w:jc w:val="right"/>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w:t>
            </w:r>
          </w:p>
        </w:tc>
      </w:tr>
      <w:tr w:rsidR="00937254" w:rsidRPr="00937254" w14:paraId="03FF4C7A" w14:textId="77777777" w:rsidTr="00937254">
        <w:trPr>
          <w:trHeight w:val="300"/>
        </w:trPr>
        <w:tc>
          <w:tcPr>
            <w:tcW w:w="0" w:type="auto"/>
            <w:tcBorders>
              <w:top w:val="nil"/>
              <w:left w:val="nil"/>
              <w:bottom w:val="nil"/>
              <w:right w:val="nil"/>
            </w:tcBorders>
            <w:shd w:val="clear" w:color="auto" w:fill="auto"/>
            <w:noWrap/>
            <w:vAlign w:val="bottom"/>
            <w:hideMark/>
          </w:tcPr>
          <w:p w14:paraId="24676AA8"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Current liabilities:</w:t>
            </w:r>
          </w:p>
        </w:tc>
        <w:tc>
          <w:tcPr>
            <w:tcW w:w="0" w:type="auto"/>
            <w:tcBorders>
              <w:top w:val="nil"/>
              <w:left w:val="nil"/>
              <w:bottom w:val="nil"/>
              <w:right w:val="nil"/>
            </w:tcBorders>
            <w:shd w:val="clear" w:color="auto" w:fill="auto"/>
            <w:noWrap/>
            <w:vAlign w:val="bottom"/>
            <w:hideMark/>
          </w:tcPr>
          <w:p w14:paraId="2E737BC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1F5F9B5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1D6441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7D7C53F0" w14:textId="77777777" w:rsidTr="00937254">
        <w:trPr>
          <w:trHeight w:val="300"/>
        </w:trPr>
        <w:tc>
          <w:tcPr>
            <w:tcW w:w="0" w:type="auto"/>
            <w:tcBorders>
              <w:top w:val="nil"/>
              <w:left w:val="nil"/>
              <w:bottom w:val="nil"/>
              <w:right w:val="nil"/>
            </w:tcBorders>
            <w:shd w:val="clear" w:color="auto" w:fill="auto"/>
            <w:noWrap/>
            <w:vAlign w:val="bottom"/>
            <w:hideMark/>
          </w:tcPr>
          <w:p w14:paraId="74258C2E"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Costain Loan</w:t>
            </w:r>
          </w:p>
        </w:tc>
        <w:tc>
          <w:tcPr>
            <w:tcW w:w="0" w:type="auto"/>
            <w:tcBorders>
              <w:top w:val="nil"/>
              <w:left w:val="nil"/>
              <w:bottom w:val="nil"/>
              <w:right w:val="nil"/>
            </w:tcBorders>
            <w:shd w:val="clear" w:color="auto" w:fill="auto"/>
            <w:noWrap/>
            <w:vAlign w:val="bottom"/>
            <w:hideMark/>
          </w:tcPr>
          <w:p w14:paraId="5F7FB2D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599,060 </w:t>
            </w:r>
          </w:p>
        </w:tc>
        <w:tc>
          <w:tcPr>
            <w:tcW w:w="0" w:type="auto"/>
            <w:tcBorders>
              <w:top w:val="nil"/>
              <w:left w:val="nil"/>
              <w:bottom w:val="nil"/>
              <w:right w:val="nil"/>
            </w:tcBorders>
            <w:shd w:val="clear" w:color="auto" w:fill="auto"/>
            <w:noWrap/>
            <w:vAlign w:val="bottom"/>
            <w:hideMark/>
          </w:tcPr>
          <w:p w14:paraId="40FC3B11"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2772E30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863,655 </w:t>
            </w:r>
          </w:p>
        </w:tc>
      </w:tr>
      <w:tr w:rsidR="00937254" w:rsidRPr="00937254" w14:paraId="165F3244" w14:textId="77777777" w:rsidTr="00937254">
        <w:trPr>
          <w:trHeight w:val="300"/>
        </w:trPr>
        <w:tc>
          <w:tcPr>
            <w:tcW w:w="0" w:type="auto"/>
            <w:tcBorders>
              <w:top w:val="nil"/>
              <w:left w:val="nil"/>
              <w:bottom w:val="nil"/>
              <w:right w:val="nil"/>
            </w:tcBorders>
            <w:shd w:val="clear" w:color="auto" w:fill="auto"/>
            <w:noWrap/>
            <w:vAlign w:val="bottom"/>
            <w:hideMark/>
          </w:tcPr>
          <w:p w14:paraId="25AD1A9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YA &amp; </w:t>
            </w:r>
            <w:proofErr w:type="spellStart"/>
            <w:r w:rsidRPr="00937254">
              <w:rPr>
                <w:rFonts w:ascii="Arial" w:eastAsia="Times New Roman" w:hAnsi="Arial" w:cs="Arial"/>
                <w:color w:val="000000"/>
                <w:sz w:val="20"/>
                <w:szCs w:val="20"/>
                <w:lang w:bidi="ar-SA"/>
              </w:rPr>
              <w:t>Riverfort</w:t>
            </w:r>
            <w:proofErr w:type="spellEnd"/>
            <w:r w:rsidRPr="00937254">
              <w:rPr>
                <w:rFonts w:ascii="Arial" w:eastAsia="Times New Roman" w:hAnsi="Arial" w:cs="Arial"/>
                <w:color w:val="000000"/>
                <w:sz w:val="20"/>
                <w:szCs w:val="20"/>
                <w:lang w:bidi="ar-SA"/>
              </w:rPr>
              <w:t xml:space="preserve"> Loan</w:t>
            </w:r>
          </w:p>
        </w:tc>
        <w:tc>
          <w:tcPr>
            <w:tcW w:w="0" w:type="auto"/>
            <w:tcBorders>
              <w:top w:val="nil"/>
              <w:left w:val="nil"/>
              <w:bottom w:val="nil"/>
              <w:right w:val="nil"/>
            </w:tcBorders>
            <w:shd w:val="clear" w:color="auto" w:fill="auto"/>
            <w:noWrap/>
            <w:vAlign w:val="bottom"/>
            <w:hideMark/>
          </w:tcPr>
          <w:p w14:paraId="7CE11A9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135,000 </w:t>
            </w:r>
          </w:p>
        </w:tc>
        <w:tc>
          <w:tcPr>
            <w:tcW w:w="0" w:type="auto"/>
            <w:tcBorders>
              <w:top w:val="nil"/>
              <w:left w:val="nil"/>
              <w:bottom w:val="nil"/>
              <w:right w:val="nil"/>
            </w:tcBorders>
            <w:shd w:val="clear" w:color="auto" w:fill="auto"/>
            <w:noWrap/>
            <w:vAlign w:val="bottom"/>
            <w:hideMark/>
          </w:tcPr>
          <w:p w14:paraId="62C624F7"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6684F95C"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830,000 </w:t>
            </w:r>
          </w:p>
        </w:tc>
      </w:tr>
      <w:tr w:rsidR="00937254" w:rsidRPr="00937254" w14:paraId="0C602F71" w14:textId="77777777" w:rsidTr="00937254">
        <w:trPr>
          <w:trHeight w:val="300"/>
        </w:trPr>
        <w:tc>
          <w:tcPr>
            <w:tcW w:w="0" w:type="auto"/>
            <w:tcBorders>
              <w:top w:val="nil"/>
              <w:left w:val="nil"/>
              <w:bottom w:val="nil"/>
              <w:right w:val="nil"/>
            </w:tcBorders>
            <w:shd w:val="clear" w:color="auto" w:fill="auto"/>
            <w:noWrap/>
            <w:vAlign w:val="bottom"/>
            <w:hideMark/>
          </w:tcPr>
          <w:p w14:paraId="5D180722"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7DD6988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2CA6C34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49DFF8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38223C9A" w14:textId="77777777" w:rsidTr="00937254">
        <w:trPr>
          <w:trHeight w:val="315"/>
        </w:trPr>
        <w:tc>
          <w:tcPr>
            <w:tcW w:w="0" w:type="auto"/>
            <w:tcBorders>
              <w:top w:val="nil"/>
              <w:left w:val="nil"/>
              <w:bottom w:val="nil"/>
              <w:right w:val="nil"/>
            </w:tcBorders>
            <w:shd w:val="clear" w:color="auto" w:fill="auto"/>
            <w:noWrap/>
            <w:vAlign w:val="bottom"/>
            <w:hideMark/>
          </w:tcPr>
          <w:p w14:paraId="6108B64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single" w:sz="4" w:space="0" w:color="auto"/>
              <w:left w:val="nil"/>
              <w:bottom w:val="double" w:sz="6" w:space="0" w:color="auto"/>
              <w:right w:val="nil"/>
            </w:tcBorders>
            <w:shd w:val="clear" w:color="auto" w:fill="auto"/>
            <w:noWrap/>
            <w:vAlign w:val="bottom"/>
            <w:hideMark/>
          </w:tcPr>
          <w:p w14:paraId="26458C6C"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734,060 </w:t>
            </w:r>
          </w:p>
        </w:tc>
        <w:tc>
          <w:tcPr>
            <w:tcW w:w="0" w:type="auto"/>
            <w:tcBorders>
              <w:top w:val="single" w:sz="4" w:space="0" w:color="auto"/>
              <w:left w:val="nil"/>
              <w:bottom w:val="double" w:sz="6" w:space="0" w:color="auto"/>
              <w:right w:val="nil"/>
            </w:tcBorders>
            <w:shd w:val="clear" w:color="auto" w:fill="auto"/>
            <w:noWrap/>
            <w:vAlign w:val="bottom"/>
            <w:hideMark/>
          </w:tcPr>
          <w:p w14:paraId="5528E1C7"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w:t>
            </w:r>
          </w:p>
        </w:tc>
        <w:tc>
          <w:tcPr>
            <w:tcW w:w="0" w:type="auto"/>
            <w:tcBorders>
              <w:top w:val="single" w:sz="4" w:space="0" w:color="auto"/>
              <w:left w:val="nil"/>
              <w:bottom w:val="double" w:sz="6" w:space="0" w:color="auto"/>
              <w:right w:val="nil"/>
            </w:tcBorders>
            <w:shd w:val="clear" w:color="auto" w:fill="auto"/>
            <w:noWrap/>
            <w:vAlign w:val="bottom"/>
            <w:hideMark/>
          </w:tcPr>
          <w:p w14:paraId="1C6A6144"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1,693,655 </w:t>
            </w:r>
          </w:p>
        </w:tc>
      </w:tr>
      <w:tr w:rsidR="00937254" w:rsidRPr="00937254" w14:paraId="22CFDC17" w14:textId="77777777" w:rsidTr="00937254">
        <w:trPr>
          <w:trHeight w:val="315"/>
        </w:trPr>
        <w:tc>
          <w:tcPr>
            <w:tcW w:w="0" w:type="auto"/>
            <w:tcBorders>
              <w:top w:val="nil"/>
              <w:left w:val="nil"/>
              <w:bottom w:val="nil"/>
              <w:right w:val="nil"/>
            </w:tcBorders>
            <w:shd w:val="clear" w:color="auto" w:fill="auto"/>
            <w:noWrap/>
            <w:vAlign w:val="bottom"/>
            <w:hideMark/>
          </w:tcPr>
          <w:p w14:paraId="147BC40D"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6B1CF3F9"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0C87BB6"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63ED07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F045142" w14:textId="77777777" w:rsidTr="00937254">
        <w:trPr>
          <w:trHeight w:val="300"/>
        </w:trPr>
        <w:tc>
          <w:tcPr>
            <w:tcW w:w="0" w:type="auto"/>
            <w:tcBorders>
              <w:top w:val="nil"/>
              <w:left w:val="nil"/>
              <w:bottom w:val="nil"/>
              <w:right w:val="nil"/>
            </w:tcBorders>
            <w:shd w:val="clear" w:color="auto" w:fill="auto"/>
            <w:noWrap/>
            <w:vAlign w:val="bottom"/>
            <w:hideMark/>
          </w:tcPr>
          <w:p w14:paraId="1B3B320E"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Short term financial liability:</w:t>
            </w:r>
          </w:p>
        </w:tc>
        <w:tc>
          <w:tcPr>
            <w:tcW w:w="0" w:type="auto"/>
            <w:tcBorders>
              <w:top w:val="nil"/>
              <w:left w:val="nil"/>
              <w:bottom w:val="nil"/>
              <w:right w:val="nil"/>
            </w:tcBorders>
            <w:shd w:val="clear" w:color="auto" w:fill="auto"/>
            <w:noWrap/>
            <w:vAlign w:val="bottom"/>
            <w:hideMark/>
          </w:tcPr>
          <w:p w14:paraId="48FBF271"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0490AB1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D00B3F3"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58A4F62E" w14:textId="77777777" w:rsidTr="00937254">
        <w:trPr>
          <w:trHeight w:val="300"/>
        </w:trPr>
        <w:tc>
          <w:tcPr>
            <w:tcW w:w="0" w:type="auto"/>
            <w:tcBorders>
              <w:top w:val="nil"/>
              <w:left w:val="nil"/>
              <w:bottom w:val="nil"/>
              <w:right w:val="nil"/>
            </w:tcBorders>
            <w:shd w:val="clear" w:color="auto" w:fill="auto"/>
            <w:noWrap/>
            <w:vAlign w:val="bottom"/>
            <w:hideMark/>
          </w:tcPr>
          <w:p w14:paraId="43AE44F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Deferred consideration</w:t>
            </w:r>
          </w:p>
        </w:tc>
        <w:tc>
          <w:tcPr>
            <w:tcW w:w="0" w:type="auto"/>
            <w:tcBorders>
              <w:top w:val="nil"/>
              <w:left w:val="nil"/>
              <w:bottom w:val="nil"/>
              <w:right w:val="nil"/>
            </w:tcBorders>
            <w:shd w:val="clear" w:color="auto" w:fill="auto"/>
            <w:noWrap/>
            <w:vAlign w:val="bottom"/>
            <w:hideMark/>
          </w:tcPr>
          <w:p w14:paraId="0F98987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1,500,000 </w:t>
            </w:r>
          </w:p>
        </w:tc>
        <w:tc>
          <w:tcPr>
            <w:tcW w:w="0" w:type="auto"/>
            <w:tcBorders>
              <w:top w:val="nil"/>
              <w:left w:val="nil"/>
              <w:bottom w:val="nil"/>
              <w:right w:val="nil"/>
            </w:tcBorders>
            <w:shd w:val="clear" w:color="auto" w:fill="auto"/>
            <w:noWrap/>
            <w:vAlign w:val="bottom"/>
            <w:hideMark/>
          </w:tcPr>
          <w:p w14:paraId="6C1DD3D0"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4F53B072"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4B5C598D" w14:textId="77777777" w:rsidTr="00937254">
        <w:trPr>
          <w:trHeight w:val="300"/>
        </w:trPr>
        <w:tc>
          <w:tcPr>
            <w:tcW w:w="0" w:type="auto"/>
            <w:tcBorders>
              <w:top w:val="nil"/>
              <w:left w:val="nil"/>
              <w:bottom w:val="nil"/>
              <w:right w:val="nil"/>
            </w:tcBorders>
            <w:shd w:val="clear" w:color="auto" w:fill="auto"/>
            <w:noWrap/>
            <w:vAlign w:val="bottom"/>
            <w:hideMark/>
          </w:tcPr>
          <w:p w14:paraId="4B852AB6"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Lease liability - right of use</w:t>
            </w:r>
          </w:p>
        </w:tc>
        <w:tc>
          <w:tcPr>
            <w:tcW w:w="0" w:type="auto"/>
            <w:tcBorders>
              <w:top w:val="nil"/>
              <w:left w:val="nil"/>
              <w:bottom w:val="nil"/>
              <w:right w:val="nil"/>
            </w:tcBorders>
            <w:shd w:val="clear" w:color="auto" w:fill="auto"/>
            <w:noWrap/>
            <w:vAlign w:val="bottom"/>
            <w:hideMark/>
          </w:tcPr>
          <w:p w14:paraId="4EC46674"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1,320,458 </w:t>
            </w:r>
          </w:p>
        </w:tc>
        <w:tc>
          <w:tcPr>
            <w:tcW w:w="0" w:type="auto"/>
            <w:tcBorders>
              <w:top w:val="nil"/>
              <w:left w:val="nil"/>
              <w:bottom w:val="nil"/>
              <w:right w:val="nil"/>
            </w:tcBorders>
            <w:shd w:val="clear" w:color="auto" w:fill="auto"/>
            <w:noWrap/>
            <w:vAlign w:val="bottom"/>
            <w:hideMark/>
          </w:tcPr>
          <w:p w14:paraId="5F9B3DEA"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61A328AD"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1,087,885 </w:t>
            </w:r>
          </w:p>
        </w:tc>
      </w:tr>
      <w:tr w:rsidR="00937254" w:rsidRPr="00937254" w14:paraId="1925F361" w14:textId="77777777" w:rsidTr="00937254">
        <w:trPr>
          <w:trHeight w:val="300"/>
        </w:trPr>
        <w:tc>
          <w:tcPr>
            <w:tcW w:w="0" w:type="auto"/>
            <w:tcBorders>
              <w:top w:val="nil"/>
              <w:left w:val="nil"/>
              <w:bottom w:val="nil"/>
              <w:right w:val="nil"/>
            </w:tcBorders>
            <w:shd w:val="clear" w:color="auto" w:fill="auto"/>
            <w:noWrap/>
            <w:vAlign w:val="bottom"/>
            <w:hideMark/>
          </w:tcPr>
          <w:p w14:paraId="30E454DC"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42983F3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65BDB27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397358E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20C60AEB" w14:textId="77777777" w:rsidTr="00937254">
        <w:trPr>
          <w:trHeight w:val="315"/>
        </w:trPr>
        <w:tc>
          <w:tcPr>
            <w:tcW w:w="0" w:type="auto"/>
            <w:tcBorders>
              <w:top w:val="nil"/>
              <w:left w:val="nil"/>
              <w:bottom w:val="nil"/>
              <w:right w:val="nil"/>
            </w:tcBorders>
            <w:shd w:val="clear" w:color="auto" w:fill="auto"/>
            <w:noWrap/>
            <w:vAlign w:val="bottom"/>
            <w:hideMark/>
          </w:tcPr>
          <w:p w14:paraId="5FF68DD4"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single" w:sz="4" w:space="0" w:color="auto"/>
              <w:left w:val="nil"/>
              <w:bottom w:val="double" w:sz="6" w:space="0" w:color="auto"/>
              <w:right w:val="nil"/>
            </w:tcBorders>
            <w:shd w:val="clear" w:color="auto" w:fill="auto"/>
            <w:noWrap/>
            <w:vAlign w:val="bottom"/>
            <w:hideMark/>
          </w:tcPr>
          <w:p w14:paraId="10ABE3B2"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2,820,458 </w:t>
            </w:r>
          </w:p>
        </w:tc>
        <w:tc>
          <w:tcPr>
            <w:tcW w:w="0" w:type="auto"/>
            <w:tcBorders>
              <w:top w:val="single" w:sz="4" w:space="0" w:color="auto"/>
              <w:left w:val="nil"/>
              <w:bottom w:val="double" w:sz="6" w:space="0" w:color="auto"/>
              <w:right w:val="nil"/>
            </w:tcBorders>
            <w:shd w:val="clear" w:color="auto" w:fill="auto"/>
            <w:noWrap/>
            <w:vAlign w:val="bottom"/>
            <w:hideMark/>
          </w:tcPr>
          <w:p w14:paraId="2D4AE9CC"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w:t>
            </w:r>
          </w:p>
        </w:tc>
        <w:tc>
          <w:tcPr>
            <w:tcW w:w="0" w:type="auto"/>
            <w:tcBorders>
              <w:top w:val="single" w:sz="4" w:space="0" w:color="auto"/>
              <w:left w:val="nil"/>
              <w:bottom w:val="double" w:sz="6" w:space="0" w:color="auto"/>
              <w:right w:val="nil"/>
            </w:tcBorders>
            <w:shd w:val="clear" w:color="auto" w:fill="auto"/>
            <w:noWrap/>
            <w:vAlign w:val="bottom"/>
            <w:hideMark/>
          </w:tcPr>
          <w:p w14:paraId="2DF8118D"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1,087,885 </w:t>
            </w:r>
          </w:p>
        </w:tc>
      </w:tr>
      <w:tr w:rsidR="00937254" w:rsidRPr="00937254" w14:paraId="01BA0116" w14:textId="77777777" w:rsidTr="00937254">
        <w:trPr>
          <w:trHeight w:val="315"/>
        </w:trPr>
        <w:tc>
          <w:tcPr>
            <w:tcW w:w="0" w:type="auto"/>
            <w:tcBorders>
              <w:top w:val="nil"/>
              <w:left w:val="nil"/>
              <w:bottom w:val="nil"/>
              <w:right w:val="nil"/>
            </w:tcBorders>
            <w:shd w:val="clear" w:color="auto" w:fill="auto"/>
            <w:noWrap/>
            <w:vAlign w:val="bottom"/>
            <w:hideMark/>
          </w:tcPr>
          <w:p w14:paraId="689D91CA"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FEEE9F7"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0B92A50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13D2314D"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7F06699" w14:textId="77777777" w:rsidTr="00937254">
        <w:trPr>
          <w:trHeight w:val="300"/>
        </w:trPr>
        <w:tc>
          <w:tcPr>
            <w:tcW w:w="0" w:type="auto"/>
            <w:tcBorders>
              <w:top w:val="nil"/>
              <w:left w:val="nil"/>
              <w:bottom w:val="nil"/>
              <w:right w:val="nil"/>
            </w:tcBorders>
            <w:shd w:val="clear" w:color="auto" w:fill="auto"/>
            <w:noWrap/>
            <w:vAlign w:val="bottom"/>
            <w:hideMark/>
          </w:tcPr>
          <w:p w14:paraId="57C85F9D"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Non-current liabilities:</w:t>
            </w:r>
          </w:p>
        </w:tc>
        <w:tc>
          <w:tcPr>
            <w:tcW w:w="0" w:type="auto"/>
            <w:tcBorders>
              <w:top w:val="nil"/>
              <w:left w:val="nil"/>
              <w:bottom w:val="nil"/>
              <w:right w:val="nil"/>
            </w:tcBorders>
            <w:shd w:val="clear" w:color="auto" w:fill="auto"/>
            <w:noWrap/>
            <w:vAlign w:val="bottom"/>
            <w:hideMark/>
          </w:tcPr>
          <w:p w14:paraId="3D08F3D6"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1B7F3582"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7A346AC1"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4F6B7A8F" w14:textId="77777777" w:rsidTr="00937254">
        <w:trPr>
          <w:trHeight w:val="300"/>
        </w:trPr>
        <w:tc>
          <w:tcPr>
            <w:tcW w:w="0" w:type="auto"/>
            <w:tcBorders>
              <w:top w:val="nil"/>
              <w:left w:val="nil"/>
              <w:bottom w:val="nil"/>
              <w:right w:val="nil"/>
            </w:tcBorders>
            <w:shd w:val="clear" w:color="auto" w:fill="auto"/>
            <w:noWrap/>
            <w:vAlign w:val="bottom"/>
            <w:hideMark/>
          </w:tcPr>
          <w:p w14:paraId="6C9CD86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Moyle Energy Investments</w:t>
            </w:r>
          </w:p>
        </w:tc>
        <w:tc>
          <w:tcPr>
            <w:tcW w:w="0" w:type="auto"/>
            <w:tcBorders>
              <w:top w:val="nil"/>
              <w:left w:val="nil"/>
              <w:bottom w:val="nil"/>
              <w:right w:val="nil"/>
            </w:tcBorders>
            <w:shd w:val="clear" w:color="auto" w:fill="auto"/>
            <w:noWrap/>
            <w:vAlign w:val="bottom"/>
            <w:hideMark/>
          </w:tcPr>
          <w:p w14:paraId="58275CBB"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200,000 </w:t>
            </w:r>
          </w:p>
        </w:tc>
        <w:tc>
          <w:tcPr>
            <w:tcW w:w="0" w:type="auto"/>
            <w:tcBorders>
              <w:top w:val="nil"/>
              <w:left w:val="nil"/>
              <w:bottom w:val="nil"/>
              <w:right w:val="nil"/>
            </w:tcBorders>
            <w:shd w:val="clear" w:color="auto" w:fill="auto"/>
            <w:noWrap/>
            <w:vAlign w:val="bottom"/>
            <w:hideMark/>
          </w:tcPr>
          <w:p w14:paraId="791D6672"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77F00E8F"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200,000 </w:t>
            </w:r>
          </w:p>
        </w:tc>
      </w:tr>
      <w:tr w:rsidR="00937254" w:rsidRPr="00937254" w14:paraId="65F35474" w14:textId="77777777" w:rsidTr="00937254">
        <w:trPr>
          <w:trHeight w:val="300"/>
        </w:trPr>
        <w:tc>
          <w:tcPr>
            <w:tcW w:w="0" w:type="auto"/>
            <w:tcBorders>
              <w:top w:val="nil"/>
              <w:left w:val="nil"/>
              <w:bottom w:val="nil"/>
              <w:right w:val="nil"/>
            </w:tcBorders>
            <w:shd w:val="clear" w:color="auto" w:fill="auto"/>
            <w:noWrap/>
            <w:vAlign w:val="bottom"/>
            <w:hideMark/>
          </w:tcPr>
          <w:p w14:paraId="6949AE77"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Deferred consideration</w:t>
            </w:r>
          </w:p>
        </w:tc>
        <w:tc>
          <w:tcPr>
            <w:tcW w:w="0" w:type="auto"/>
            <w:tcBorders>
              <w:top w:val="nil"/>
              <w:left w:val="nil"/>
              <w:bottom w:val="nil"/>
              <w:right w:val="nil"/>
            </w:tcBorders>
            <w:shd w:val="clear" w:color="auto" w:fill="auto"/>
            <w:noWrap/>
            <w:vAlign w:val="bottom"/>
            <w:hideMark/>
          </w:tcPr>
          <w:p w14:paraId="4AB7085C"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4,200,000 </w:t>
            </w:r>
          </w:p>
        </w:tc>
        <w:tc>
          <w:tcPr>
            <w:tcW w:w="0" w:type="auto"/>
            <w:tcBorders>
              <w:top w:val="nil"/>
              <w:left w:val="nil"/>
              <w:bottom w:val="nil"/>
              <w:right w:val="nil"/>
            </w:tcBorders>
            <w:shd w:val="clear" w:color="auto" w:fill="auto"/>
            <w:noWrap/>
            <w:vAlign w:val="bottom"/>
            <w:hideMark/>
          </w:tcPr>
          <w:p w14:paraId="6AC8984C"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2C878483"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   </w:t>
            </w:r>
          </w:p>
        </w:tc>
      </w:tr>
      <w:tr w:rsidR="00937254" w:rsidRPr="00937254" w14:paraId="6084CF85" w14:textId="77777777" w:rsidTr="00937254">
        <w:trPr>
          <w:trHeight w:val="300"/>
        </w:trPr>
        <w:tc>
          <w:tcPr>
            <w:tcW w:w="0" w:type="auto"/>
            <w:tcBorders>
              <w:top w:val="nil"/>
              <w:left w:val="nil"/>
              <w:bottom w:val="nil"/>
              <w:right w:val="nil"/>
            </w:tcBorders>
            <w:shd w:val="clear" w:color="auto" w:fill="auto"/>
            <w:noWrap/>
            <w:vAlign w:val="bottom"/>
            <w:hideMark/>
          </w:tcPr>
          <w:p w14:paraId="42FBCF31"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Other borrowings</w:t>
            </w:r>
          </w:p>
        </w:tc>
        <w:tc>
          <w:tcPr>
            <w:tcW w:w="0" w:type="auto"/>
            <w:tcBorders>
              <w:top w:val="nil"/>
              <w:left w:val="nil"/>
              <w:bottom w:val="nil"/>
              <w:right w:val="nil"/>
            </w:tcBorders>
            <w:shd w:val="clear" w:color="auto" w:fill="auto"/>
            <w:noWrap/>
            <w:vAlign w:val="bottom"/>
            <w:hideMark/>
          </w:tcPr>
          <w:p w14:paraId="5148579A"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2,090,000 </w:t>
            </w:r>
          </w:p>
        </w:tc>
        <w:tc>
          <w:tcPr>
            <w:tcW w:w="0" w:type="auto"/>
            <w:tcBorders>
              <w:top w:val="nil"/>
              <w:left w:val="nil"/>
              <w:bottom w:val="nil"/>
              <w:right w:val="nil"/>
            </w:tcBorders>
            <w:shd w:val="clear" w:color="auto" w:fill="auto"/>
            <w:noWrap/>
            <w:vAlign w:val="bottom"/>
            <w:hideMark/>
          </w:tcPr>
          <w:p w14:paraId="5F558FC0"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7078ACA9"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2,090,000 </w:t>
            </w:r>
          </w:p>
        </w:tc>
      </w:tr>
      <w:tr w:rsidR="00937254" w:rsidRPr="00937254" w14:paraId="789DED7A" w14:textId="77777777" w:rsidTr="00937254">
        <w:trPr>
          <w:trHeight w:val="300"/>
        </w:trPr>
        <w:tc>
          <w:tcPr>
            <w:tcW w:w="0" w:type="auto"/>
            <w:tcBorders>
              <w:top w:val="nil"/>
              <w:left w:val="nil"/>
              <w:bottom w:val="nil"/>
              <w:right w:val="nil"/>
            </w:tcBorders>
            <w:shd w:val="clear" w:color="auto" w:fill="auto"/>
            <w:noWrap/>
            <w:vAlign w:val="bottom"/>
            <w:hideMark/>
          </w:tcPr>
          <w:p w14:paraId="621A1288"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Lease liability - right of use</w:t>
            </w:r>
          </w:p>
        </w:tc>
        <w:tc>
          <w:tcPr>
            <w:tcW w:w="0" w:type="auto"/>
            <w:tcBorders>
              <w:top w:val="nil"/>
              <w:left w:val="nil"/>
              <w:bottom w:val="nil"/>
              <w:right w:val="nil"/>
            </w:tcBorders>
            <w:shd w:val="clear" w:color="auto" w:fill="auto"/>
            <w:noWrap/>
            <w:vAlign w:val="bottom"/>
            <w:hideMark/>
          </w:tcPr>
          <w:p w14:paraId="1D45D6DB"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13,878,805 </w:t>
            </w:r>
          </w:p>
        </w:tc>
        <w:tc>
          <w:tcPr>
            <w:tcW w:w="0" w:type="auto"/>
            <w:tcBorders>
              <w:top w:val="nil"/>
              <w:left w:val="nil"/>
              <w:bottom w:val="nil"/>
              <w:right w:val="nil"/>
            </w:tcBorders>
            <w:shd w:val="clear" w:color="auto" w:fill="auto"/>
            <w:noWrap/>
            <w:vAlign w:val="bottom"/>
            <w:hideMark/>
          </w:tcPr>
          <w:p w14:paraId="1B50552B"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73E022A4" w14:textId="77777777" w:rsidR="00937254" w:rsidRPr="00937254" w:rsidRDefault="00937254" w:rsidP="00937254">
            <w:pPr>
              <w:widowControl/>
              <w:autoSpaceDE/>
              <w:autoSpaceDN/>
              <w:rPr>
                <w:rFonts w:ascii="Arial" w:eastAsia="Times New Roman" w:hAnsi="Arial" w:cs="Arial"/>
                <w:color w:val="000000"/>
                <w:sz w:val="20"/>
                <w:szCs w:val="20"/>
                <w:lang w:bidi="ar-SA"/>
              </w:rPr>
            </w:pPr>
            <w:r w:rsidRPr="00937254">
              <w:rPr>
                <w:rFonts w:ascii="Arial" w:eastAsia="Times New Roman" w:hAnsi="Arial" w:cs="Arial"/>
                <w:color w:val="000000"/>
                <w:sz w:val="20"/>
                <w:szCs w:val="20"/>
                <w:lang w:bidi="ar-SA"/>
              </w:rPr>
              <w:t xml:space="preserve">  13,699,579 </w:t>
            </w:r>
          </w:p>
        </w:tc>
      </w:tr>
      <w:tr w:rsidR="00937254" w:rsidRPr="00937254" w14:paraId="5074131B" w14:textId="77777777" w:rsidTr="00937254">
        <w:trPr>
          <w:trHeight w:val="300"/>
        </w:trPr>
        <w:tc>
          <w:tcPr>
            <w:tcW w:w="0" w:type="auto"/>
            <w:tcBorders>
              <w:top w:val="nil"/>
              <w:left w:val="nil"/>
              <w:bottom w:val="nil"/>
              <w:right w:val="nil"/>
            </w:tcBorders>
            <w:shd w:val="clear" w:color="auto" w:fill="auto"/>
            <w:noWrap/>
            <w:vAlign w:val="bottom"/>
            <w:hideMark/>
          </w:tcPr>
          <w:p w14:paraId="5DAC63EB" w14:textId="77777777" w:rsidR="00937254" w:rsidRPr="00937254" w:rsidRDefault="00937254" w:rsidP="00937254">
            <w:pPr>
              <w:widowControl/>
              <w:autoSpaceDE/>
              <w:autoSpaceDN/>
              <w:rPr>
                <w:rFonts w:ascii="Arial" w:eastAsia="Times New Roman" w:hAnsi="Arial" w:cs="Arial"/>
                <w:color w:val="000000"/>
                <w:sz w:val="20"/>
                <w:szCs w:val="20"/>
                <w:lang w:bidi="ar-SA"/>
              </w:rPr>
            </w:pPr>
          </w:p>
        </w:tc>
        <w:tc>
          <w:tcPr>
            <w:tcW w:w="0" w:type="auto"/>
            <w:tcBorders>
              <w:top w:val="nil"/>
              <w:left w:val="nil"/>
              <w:bottom w:val="nil"/>
              <w:right w:val="nil"/>
            </w:tcBorders>
            <w:shd w:val="clear" w:color="auto" w:fill="auto"/>
            <w:noWrap/>
            <w:vAlign w:val="bottom"/>
            <w:hideMark/>
          </w:tcPr>
          <w:p w14:paraId="39821F4A"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4FF72975"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nil"/>
              <w:left w:val="nil"/>
              <w:bottom w:val="nil"/>
              <w:right w:val="nil"/>
            </w:tcBorders>
            <w:shd w:val="clear" w:color="auto" w:fill="auto"/>
            <w:noWrap/>
            <w:vAlign w:val="bottom"/>
            <w:hideMark/>
          </w:tcPr>
          <w:p w14:paraId="57FE4398"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r>
      <w:tr w:rsidR="00937254" w:rsidRPr="00937254" w14:paraId="044CD7FE" w14:textId="77777777" w:rsidTr="00937254">
        <w:trPr>
          <w:trHeight w:val="315"/>
        </w:trPr>
        <w:tc>
          <w:tcPr>
            <w:tcW w:w="0" w:type="auto"/>
            <w:tcBorders>
              <w:top w:val="nil"/>
              <w:left w:val="nil"/>
              <w:bottom w:val="nil"/>
              <w:right w:val="nil"/>
            </w:tcBorders>
            <w:shd w:val="clear" w:color="auto" w:fill="auto"/>
            <w:noWrap/>
            <w:vAlign w:val="bottom"/>
            <w:hideMark/>
          </w:tcPr>
          <w:p w14:paraId="100DDA70" w14:textId="77777777" w:rsidR="00937254" w:rsidRPr="00937254" w:rsidRDefault="00937254" w:rsidP="00937254">
            <w:pPr>
              <w:widowControl/>
              <w:autoSpaceDE/>
              <w:autoSpaceDN/>
              <w:rPr>
                <w:rFonts w:ascii="Times New Roman" w:eastAsia="Times New Roman" w:hAnsi="Times New Roman" w:cs="Times New Roman"/>
                <w:sz w:val="20"/>
                <w:szCs w:val="20"/>
                <w:lang w:bidi="ar-SA"/>
              </w:rPr>
            </w:pPr>
          </w:p>
        </w:tc>
        <w:tc>
          <w:tcPr>
            <w:tcW w:w="0" w:type="auto"/>
            <w:tcBorders>
              <w:top w:val="single" w:sz="4" w:space="0" w:color="auto"/>
              <w:left w:val="nil"/>
              <w:bottom w:val="double" w:sz="6" w:space="0" w:color="auto"/>
              <w:right w:val="nil"/>
            </w:tcBorders>
            <w:shd w:val="clear" w:color="auto" w:fill="auto"/>
            <w:noWrap/>
            <w:vAlign w:val="bottom"/>
            <w:hideMark/>
          </w:tcPr>
          <w:p w14:paraId="7E81B62D"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20,368,805 </w:t>
            </w:r>
          </w:p>
        </w:tc>
        <w:tc>
          <w:tcPr>
            <w:tcW w:w="0" w:type="auto"/>
            <w:tcBorders>
              <w:top w:val="single" w:sz="4" w:space="0" w:color="auto"/>
              <w:left w:val="nil"/>
              <w:bottom w:val="double" w:sz="6" w:space="0" w:color="auto"/>
              <w:right w:val="nil"/>
            </w:tcBorders>
            <w:shd w:val="clear" w:color="auto" w:fill="auto"/>
            <w:noWrap/>
            <w:vAlign w:val="bottom"/>
            <w:hideMark/>
          </w:tcPr>
          <w:p w14:paraId="5136E517"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w:t>
            </w:r>
          </w:p>
        </w:tc>
        <w:tc>
          <w:tcPr>
            <w:tcW w:w="0" w:type="auto"/>
            <w:tcBorders>
              <w:top w:val="single" w:sz="4" w:space="0" w:color="auto"/>
              <w:left w:val="nil"/>
              <w:bottom w:val="double" w:sz="6" w:space="0" w:color="auto"/>
              <w:right w:val="nil"/>
            </w:tcBorders>
            <w:shd w:val="clear" w:color="auto" w:fill="auto"/>
            <w:noWrap/>
            <w:vAlign w:val="bottom"/>
            <w:hideMark/>
          </w:tcPr>
          <w:p w14:paraId="41FF903A" w14:textId="77777777" w:rsidR="00937254" w:rsidRPr="00937254" w:rsidRDefault="00937254" w:rsidP="00937254">
            <w:pPr>
              <w:widowControl/>
              <w:autoSpaceDE/>
              <w:autoSpaceDN/>
              <w:rPr>
                <w:rFonts w:ascii="Arial" w:eastAsia="Times New Roman" w:hAnsi="Arial" w:cs="Arial"/>
                <w:b/>
                <w:bCs/>
                <w:color w:val="000000"/>
                <w:sz w:val="20"/>
                <w:szCs w:val="20"/>
                <w:lang w:bidi="ar-SA"/>
              </w:rPr>
            </w:pPr>
            <w:r w:rsidRPr="00937254">
              <w:rPr>
                <w:rFonts w:ascii="Arial" w:eastAsia="Times New Roman" w:hAnsi="Arial" w:cs="Arial"/>
                <w:b/>
                <w:bCs/>
                <w:color w:val="000000"/>
                <w:sz w:val="20"/>
                <w:szCs w:val="20"/>
                <w:lang w:bidi="ar-SA"/>
              </w:rPr>
              <w:t xml:space="preserve">  15,989,579 </w:t>
            </w:r>
          </w:p>
        </w:tc>
      </w:tr>
    </w:tbl>
    <w:p w14:paraId="5169ADE8" w14:textId="5E41801C" w:rsidR="00DF22CE" w:rsidRDefault="00DF22CE" w:rsidP="0089653F">
      <w:pPr>
        <w:tabs>
          <w:tab w:val="left" w:pos="989"/>
        </w:tabs>
        <w:rPr>
          <w:rFonts w:asciiTheme="minorHAnsi" w:hAnsiTheme="minorHAnsi" w:cstheme="minorHAnsi"/>
          <w:sz w:val="20"/>
          <w:szCs w:val="20"/>
        </w:rPr>
      </w:pPr>
    </w:p>
    <w:p w14:paraId="11DCA26B" w14:textId="584F9A18" w:rsidR="00DF22CE" w:rsidRDefault="00DF22CE" w:rsidP="0089653F">
      <w:pPr>
        <w:tabs>
          <w:tab w:val="left" w:pos="989"/>
        </w:tabs>
        <w:rPr>
          <w:rFonts w:asciiTheme="minorHAnsi" w:hAnsiTheme="minorHAnsi" w:cstheme="minorHAnsi"/>
          <w:sz w:val="20"/>
          <w:szCs w:val="20"/>
        </w:rPr>
      </w:pPr>
    </w:p>
    <w:p w14:paraId="00D75F8B" w14:textId="6178FC49" w:rsidR="00DF22CE" w:rsidRDefault="00DF22CE" w:rsidP="0089653F">
      <w:pPr>
        <w:tabs>
          <w:tab w:val="left" w:pos="989"/>
        </w:tabs>
        <w:rPr>
          <w:rFonts w:asciiTheme="minorHAnsi" w:hAnsiTheme="minorHAnsi" w:cstheme="minorHAnsi"/>
          <w:sz w:val="20"/>
          <w:szCs w:val="20"/>
        </w:rPr>
      </w:pPr>
    </w:p>
    <w:p w14:paraId="79735D7A" w14:textId="16FF11CA" w:rsidR="00DF22CE" w:rsidRDefault="00DF22CE" w:rsidP="0089653F">
      <w:pPr>
        <w:tabs>
          <w:tab w:val="left" w:pos="989"/>
        </w:tabs>
        <w:rPr>
          <w:rFonts w:asciiTheme="minorHAnsi" w:hAnsiTheme="minorHAnsi" w:cstheme="minorHAnsi"/>
          <w:sz w:val="20"/>
          <w:szCs w:val="20"/>
        </w:rPr>
      </w:pPr>
    </w:p>
    <w:p w14:paraId="525A2256" w14:textId="66E420AC" w:rsidR="000C69C7" w:rsidRDefault="000C69C7" w:rsidP="0089653F">
      <w:pPr>
        <w:tabs>
          <w:tab w:val="left" w:pos="989"/>
        </w:tabs>
        <w:rPr>
          <w:rFonts w:asciiTheme="minorHAnsi" w:hAnsiTheme="minorHAnsi" w:cstheme="minorHAnsi"/>
          <w:sz w:val="20"/>
          <w:szCs w:val="20"/>
        </w:rPr>
      </w:pPr>
    </w:p>
    <w:p w14:paraId="58C641BF" w14:textId="48D51F5E" w:rsidR="000C69C7" w:rsidRDefault="000C69C7" w:rsidP="0089653F">
      <w:pPr>
        <w:tabs>
          <w:tab w:val="left" w:pos="989"/>
        </w:tabs>
        <w:rPr>
          <w:rFonts w:asciiTheme="minorHAnsi" w:hAnsiTheme="minorHAnsi" w:cstheme="minorHAnsi"/>
          <w:sz w:val="20"/>
          <w:szCs w:val="20"/>
        </w:rPr>
      </w:pPr>
    </w:p>
    <w:p w14:paraId="332130F7" w14:textId="1B604914" w:rsidR="000C69C7" w:rsidRDefault="000C69C7" w:rsidP="0089653F">
      <w:pPr>
        <w:tabs>
          <w:tab w:val="left" w:pos="989"/>
        </w:tabs>
        <w:rPr>
          <w:rFonts w:asciiTheme="minorHAnsi" w:hAnsiTheme="minorHAnsi" w:cstheme="minorHAnsi"/>
          <w:sz w:val="20"/>
          <w:szCs w:val="20"/>
        </w:rPr>
      </w:pPr>
    </w:p>
    <w:p w14:paraId="57E03378" w14:textId="4F236D11" w:rsidR="000C69C7" w:rsidRDefault="000C69C7" w:rsidP="0089653F">
      <w:pPr>
        <w:tabs>
          <w:tab w:val="left" w:pos="989"/>
        </w:tabs>
        <w:rPr>
          <w:rFonts w:asciiTheme="minorHAnsi" w:hAnsiTheme="minorHAnsi" w:cstheme="minorHAnsi"/>
          <w:sz w:val="20"/>
          <w:szCs w:val="20"/>
        </w:rPr>
      </w:pPr>
    </w:p>
    <w:p w14:paraId="1D1C034A" w14:textId="56B6E6C1" w:rsidR="000C69C7" w:rsidRDefault="000C69C7" w:rsidP="0089653F">
      <w:pPr>
        <w:tabs>
          <w:tab w:val="left" w:pos="989"/>
        </w:tabs>
        <w:rPr>
          <w:rFonts w:asciiTheme="minorHAnsi" w:hAnsiTheme="minorHAnsi" w:cstheme="minorHAnsi"/>
          <w:sz w:val="20"/>
          <w:szCs w:val="20"/>
        </w:rPr>
      </w:pPr>
    </w:p>
    <w:p w14:paraId="41BF4EC8" w14:textId="633E323C" w:rsidR="000C69C7" w:rsidRDefault="000C69C7" w:rsidP="0089653F">
      <w:pPr>
        <w:tabs>
          <w:tab w:val="left" w:pos="989"/>
        </w:tabs>
        <w:rPr>
          <w:rFonts w:asciiTheme="minorHAnsi" w:hAnsiTheme="minorHAnsi" w:cstheme="minorHAnsi"/>
          <w:sz w:val="20"/>
          <w:szCs w:val="20"/>
        </w:rPr>
      </w:pPr>
    </w:p>
    <w:p w14:paraId="10EF641E" w14:textId="4D08136D" w:rsidR="00DB2968" w:rsidRDefault="00DB2968" w:rsidP="0089653F">
      <w:pPr>
        <w:tabs>
          <w:tab w:val="left" w:pos="989"/>
        </w:tabs>
        <w:rPr>
          <w:rFonts w:asciiTheme="minorHAnsi" w:hAnsiTheme="minorHAnsi" w:cstheme="minorHAnsi"/>
          <w:sz w:val="20"/>
          <w:szCs w:val="20"/>
        </w:rPr>
      </w:pPr>
    </w:p>
    <w:p w14:paraId="623DD23D" w14:textId="4C1D26CB" w:rsidR="00DB2968" w:rsidRDefault="00DB2968" w:rsidP="0089653F">
      <w:pPr>
        <w:tabs>
          <w:tab w:val="left" w:pos="989"/>
        </w:tabs>
        <w:rPr>
          <w:rFonts w:asciiTheme="minorHAnsi" w:hAnsiTheme="minorHAnsi" w:cstheme="minorHAnsi"/>
          <w:sz w:val="20"/>
          <w:szCs w:val="20"/>
        </w:rPr>
      </w:pPr>
    </w:p>
    <w:p w14:paraId="15661B3B" w14:textId="1B38FC7A" w:rsidR="000C69C7" w:rsidRDefault="000C69C7" w:rsidP="0089653F">
      <w:pPr>
        <w:tabs>
          <w:tab w:val="left" w:pos="989"/>
        </w:tabs>
        <w:rPr>
          <w:rFonts w:asciiTheme="minorHAnsi" w:hAnsiTheme="minorHAnsi" w:cstheme="minorHAnsi"/>
          <w:sz w:val="20"/>
          <w:szCs w:val="20"/>
        </w:rPr>
      </w:pPr>
    </w:p>
    <w:p w14:paraId="743AA65D" w14:textId="090D3A05" w:rsidR="000C69C7" w:rsidRDefault="000C69C7" w:rsidP="0089653F">
      <w:pPr>
        <w:tabs>
          <w:tab w:val="left" w:pos="989"/>
        </w:tabs>
        <w:rPr>
          <w:rFonts w:asciiTheme="minorHAnsi" w:hAnsiTheme="minorHAnsi" w:cstheme="minorHAnsi"/>
          <w:sz w:val="20"/>
          <w:szCs w:val="20"/>
        </w:rPr>
      </w:pPr>
    </w:p>
    <w:p w14:paraId="5B778B96" w14:textId="1432D50F" w:rsidR="000C69C7" w:rsidRDefault="000C69C7" w:rsidP="0089653F">
      <w:pPr>
        <w:tabs>
          <w:tab w:val="left" w:pos="989"/>
        </w:tabs>
        <w:rPr>
          <w:rFonts w:asciiTheme="minorHAnsi" w:hAnsiTheme="minorHAnsi" w:cstheme="minorHAnsi"/>
          <w:sz w:val="20"/>
          <w:szCs w:val="20"/>
        </w:rPr>
      </w:pPr>
    </w:p>
    <w:p w14:paraId="7D245293" w14:textId="7580BF18" w:rsidR="000C69C7" w:rsidRDefault="000C69C7" w:rsidP="0089653F">
      <w:pPr>
        <w:tabs>
          <w:tab w:val="left" w:pos="989"/>
        </w:tabs>
        <w:rPr>
          <w:rFonts w:asciiTheme="minorHAnsi" w:hAnsiTheme="minorHAnsi" w:cstheme="minorHAnsi"/>
          <w:sz w:val="20"/>
          <w:szCs w:val="20"/>
        </w:rPr>
      </w:pPr>
    </w:p>
    <w:p w14:paraId="672FF8EC" w14:textId="366D63A8" w:rsidR="000C69C7" w:rsidRDefault="000C69C7" w:rsidP="0089653F">
      <w:pPr>
        <w:tabs>
          <w:tab w:val="left" w:pos="989"/>
        </w:tabs>
        <w:rPr>
          <w:rFonts w:asciiTheme="minorHAnsi" w:hAnsiTheme="minorHAnsi" w:cstheme="minorHAnsi"/>
          <w:sz w:val="20"/>
          <w:szCs w:val="20"/>
        </w:rPr>
      </w:pPr>
    </w:p>
    <w:p w14:paraId="1D94E96B" w14:textId="74CB68FD" w:rsidR="000C69C7" w:rsidRDefault="000C69C7" w:rsidP="0089653F">
      <w:pPr>
        <w:tabs>
          <w:tab w:val="left" w:pos="989"/>
        </w:tabs>
        <w:rPr>
          <w:rFonts w:asciiTheme="minorHAnsi" w:hAnsiTheme="minorHAnsi" w:cstheme="minorHAnsi"/>
          <w:sz w:val="20"/>
          <w:szCs w:val="20"/>
        </w:rPr>
      </w:pPr>
    </w:p>
    <w:p w14:paraId="3A8797D0" w14:textId="7ED7E199" w:rsidR="000C69C7" w:rsidRDefault="000C69C7" w:rsidP="0089653F">
      <w:pPr>
        <w:tabs>
          <w:tab w:val="left" w:pos="989"/>
        </w:tabs>
        <w:rPr>
          <w:rFonts w:asciiTheme="minorHAnsi" w:hAnsiTheme="minorHAnsi" w:cstheme="minorHAnsi"/>
          <w:sz w:val="20"/>
          <w:szCs w:val="20"/>
        </w:rPr>
      </w:pPr>
    </w:p>
    <w:p w14:paraId="3AF69F05" w14:textId="223F6726" w:rsidR="000C69C7" w:rsidRDefault="000C69C7" w:rsidP="0089653F">
      <w:pPr>
        <w:tabs>
          <w:tab w:val="left" w:pos="989"/>
        </w:tabs>
        <w:rPr>
          <w:rFonts w:asciiTheme="minorHAnsi" w:hAnsiTheme="minorHAnsi" w:cstheme="minorHAnsi"/>
          <w:sz w:val="20"/>
          <w:szCs w:val="20"/>
        </w:rPr>
      </w:pPr>
    </w:p>
    <w:p w14:paraId="7564D898" w14:textId="38D63D79" w:rsidR="000C69C7" w:rsidRDefault="000C69C7" w:rsidP="0089653F">
      <w:pPr>
        <w:tabs>
          <w:tab w:val="left" w:pos="989"/>
        </w:tabs>
        <w:rPr>
          <w:rFonts w:asciiTheme="minorHAnsi" w:hAnsiTheme="minorHAnsi" w:cstheme="minorHAnsi"/>
          <w:sz w:val="20"/>
          <w:szCs w:val="20"/>
        </w:rPr>
      </w:pPr>
    </w:p>
    <w:p w14:paraId="0E012759" w14:textId="5D4F3362" w:rsidR="000C69C7" w:rsidRDefault="000C69C7" w:rsidP="0089653F">
      <w:pPr>
        <w:tabs>
          <w:tab w:val="left" w:pos="989"/>
        </w:tabs>
        <w:rPr>
          <w:rFonts w:asciiTheme="minorHAnsi" w:hAnsiTheme="minorHAnsi" w:cstheme="minorHAnsi"/>
          <w:sz w:val="20"/>
          <w:szCs w:val="20"/>
        </w:rPr>
      </w:pPr>
    </w:p>
    <w:p w14:paraId="42731D54" w14:textId="5538FA7A" w:rsidR="000C69C7" w:rsidRDefault="000C69C7" w:rsidP="0089653F">
      <w:pPr>
        <w:tabs>
          <w:tab w:val="left" w:pos="989"/>
        </w:tabs>
        <w:rPr>
          <w:rFonts w:asciiTheme="minorHAnsi" w:hAnsiTheme="minorHAnsi" w:cstheme="minorHAnsi"/>
          <w:sz w:val="20"/>
          <w:szCs w:val="20"/>
        </w:rPr>
      </w:pPr>
    </w:p>
    <w:p w14:paraId="05EE07CB" w14:textId="17ADB8B0" w:rsidR="000C69C7" w:rsidRDefault="000C69C7" w:rsidP="0089653F">
      <w:pPr>
        <w:tabs>
          <w:tab w:val="left" w:pos="989"/>
        </w:tabs>
        <w:rPr>
          <w:rFonts w:asciiTheme="minorHAnsi" w:hAnsiTheme="minorHAnsi" w:cstheme="minorHAnsi"/>
          <w:sz w:val="20"/>
          <w:szCs w:val="20"/>
        </w:rPr>
      </w:pPr>
    </w:p>
    <w:p w14:paraId="7E92E56A" w14:textId="64781D86" w:rsidR="000C69C7" w:rsidRDefault="000C69C7" w:rsidP="0089653F">
      <w:pPr>
        <w:tabs>
          <w:tab w:val="left" w:pos="989"/>
        </w:tabs>
        <w:rPr>
          <w:rFonts w:asciiTheme="minorHAnsi" w:hAnsiTheme="minorHAnsi" w:cstheme="minorHAnsi"/>
          <w:sz w:val="20"/>
          <w:szCs w:val="20"/>
        </w:rPr>
      </w:pPr>
    </w:p>
    <w:p w14:paraId="155086B6" w14:textId="1EE65563" w:rsidR="000C69C7" w:rsidRDefault="000C69C7" w:rsidP="000C69C7">
      <w:pPr>
        <w:rPr>
          <w:rFonts w:asciiTheme="minorHAnsi" w:hAnsiTheme="minorHAnsi" w:cstheme="minorHAnsi"/>
          <w:sz w:val="20"/>
          <w:szCs w:val="20"/>
        </w:rPr>
      </w:pPr>
    </w:p>
    <w:p w14:paraId="12A0587E" w14:textId="0DCCE251" w:rsidR="004A4966" w:rsidRPr="008E6ECA" w:rsidRDefault="004A4966" w:rsidP="006F7A88">
      <w:pPr>
        <w:ind w:firstLine="567"/>
        <w:rPr>
          <w:rFonts w:asciiTheme="minorHAnsi" w:hAnsiTheme="minorHAnsi" w:cstheme="minorHAnsi"/>
          <w:b/>
          <w:i/>
          <w:sz w:val="20"/>
          <w:szCs w:val="20"/>
        </w:rPr>
      </w:pPr>
      <w:r w:rsidRPr="0037210E">
        <w:rPr>
          <w:rFonts w:asciiTheme="minorHAnsi" w:hAnsiTheme="minorHAnsi" w:cstheme="minorHAnsi"/>
          <w:b/>
          <w:i/>
          <w:sz w:val="20"/>
          <w:szCs w:val="20"/>
        </w:rPr>
        <w:t>Costain Loan</w:t>
      </w:r>
    </w:p>
    <w:p w14:paraId="2C6FA11B" w14:textId="664127B0" w:rsidR="004A4966" w:rsidRPr="00755E14" w:rsidRDefault="004A4966" w:rsidP="004A4966">
      <w:pPr>
        <w:tabs>
          <w:tab w:val="left" w:pos="9781"/>
        </w:tabs>
        <w:ind w:left="567" w:right="1207"/>
        <w:jc w:val="both"/>
        <w:rPr>
          <w:rFonts w:asciiTheme="minorHAnsi" w:hAnsiTheme="minorHAnsi" w:cstheme="minorHAnsi"/>
          <w:sz w:val="20"/>
          <w:szCs w:val="20"/>
        </w:rPr>
      </w:pPr>
      <w:r w:rsidRPr="00755E14">
        <w:rPr>
          <w:rFonts w:asciiTheme="minorHAnsi" w:hAnsiTheme="minorHAnsi" w:cstheme="minorHAnsi"/>
          <w:sz w:val="20"/>
          <w:szCs w:val="20"/>
        </w:rPr>
        <w:t xml:space="preserve">In April 2018, </w:t>
      </w:r>
      <w:proofErr w:type="spellStart"/>
      <w:r w:rsidRPr="00755E14">
        <w:rPr>
          <w:rFonts w:asciiTheme="minorHAnsi" w:hAnsiTheme="minorHAnsi" w:cstheme="minorHAnsi"/>
          <w:sz w:val="20"/>
          <w:szCs w:val="20"/>
        </w:rPr>
        <w:t>Islandmagee</w:t>
      </w:r>
      <w:proofErr w:type="spellEnd"/>
      <w:r w:rsidRPr="00755E14">
        <w:rPr>
          <w:rFonts w:asciiTheme="minorHAnsi" w:hAnsiTheme="minorHAnsi" w:cstheme="minorHAnsi"/>
          <w:sz w:val="20"/>
          <w:szCs w:val="20"/>
        </w:rPr>
        <w:t xml:space="preserve"> Energy Limited (IMEL) concluded a Secured Development Loan Agreement with Costain Oil, Gas &amp; Process Limited (“Costain”). Costain is the principal contractor in the FEED programme and in return for its services to IMEL, it agreed to provide a secured loan so as to facilitate the further development of the </w:t>
      </w:r>
      <w:proofErr w:type="spellStart"/>
      <w:r w:rsidRPr="00755E14">
        <w:rPr>
          <w:rFonts w:asciiTheme="minorHAnsi" w:hAnsiTheme="minorHAnsi" w:cstheme="minorHAnsi"/>
          <w:sz w:val="20"/>
          <w:szCs w:val="20"/>
        </w:rPr>
        <w:t>Islandmagee</w:t>
      </w:r>
      <w:proofErr w:type="spellEnd"/>
      <w:r w:rsidRPr="00755E14">
        <w:rPr>
          <w:rFonts w:asciiTheme="minorHAnsi" w:hAnsiTheme="minorHAnsi" w:cstheme="minorHAnsi"/>
          <w:sz w:val="20"/>
          <w:szCs w:val="20"/>
        </w:rPr>
        <w:t xml:space="preserve"> gas storage project. The loan is secured on the assets of IMEL.  As at 31 J</w:t>
      </w:r>
      <w:r w:rsidR="00F05AA9">
        <w:rPr>
          <w:rFonts w:asciiTheme="minorHAnsi" w:hAnsiTheme="minorHAnsi" w:cstheme="minorHAnsi"/>
          <w:sz w:val="20"/>
          <w:szCs w:val="20"/>
        </w:rPr>
        <w:t>ul</w:t>
      </w:r>
      <w:r w:rsidRPr="00755E14">
        <w:rPr>
          <w:rFonts w:asciiTheme="minorHAnsi" w:hAnsiTheme="minorHAnsi" w:cstheme="minorHAnsi"/>
          <w:sz w:val="20"/>
          <w:szCs w:val="20"/>
        </w:rPr>
        <w:t xml:space="preserve">y 2021, the terms of the loan have been altered so make the loan unsecured, which provides the Company the optionality to leverage the assets of IMEL. </w:t>
      </w:r>
      <w:r w:rsidR="00EA00D0">
        <w:rPr>
          <w:rFonts w:asciiTheme="minorHAnsi" w:hAnsiTheme="minorHAnsi" w:cstheme="minorHAnsi"/>
          <w:sz w:val="20"/>
          <w:szCs w:val="20"/>
        </w:rPr>
        <w:t>T</w:t>
      </w:r>
      <w:r w:rsidRPr="00755E14">
        <w:rPr>
          <w:rFonts w:asciiTheme="minorHAnsi" w:hAnsiTheme="minorHAnsi" w:cstheme="minorHAnsi"/>
          <w:sz w:val="20"/>
          <w:szCs w:val="20"/>
        </w:rPr>
        <w:t>he Company has been making regular monthly payments to liquidate the loan under an agreed payment plan</w:t>
      </w:r>
      <w:r w:rsidR="00EA00D0">
        <w:rPr>
          <w:rFonts w:asciiTheme="minorHAnsi" w:hAnsiTheme="minorHAnsi" w:cstheme="minorHAnsi"/>
          <w:sz w:val="20"/>
          <w:szCs w:val="20"/>
        </w:rPr>
        <w:t xml:space="preserve"> and will liquidate </w:t>
      </w:r>
      <w:r w:rsidR="002D2393">
        <w:rPr>
          <w:rFonts w:asciiTheme="minorHAnsi" w:hAnsiTheme="minorHAnsi" w:cstheme="minorHAnsi"/>
          <w:sz w:val="20"/>
          <w:szCs w:val="20"/>
        </w:rPr>
        <w:t>the loan accordingly.</w:t>
      </w:r>
      <w:r w:rsidRPr="00755E14">
        <w:rPr>
          <w:rFonts w:asciiTheme="minorHAnsi" w:hAnsiTheme="minorHAnsi" w:cstheme="minorHAnsi"/>
          <w:sz w:val="20"/>
          <w:szCs w:val="20"/>
        </w:rPr>
        <w:t xml:space="preserve">  </w:t>
      </w:r>
    </w:p>
    <w:p w14:paraId="51845FA6" w14:textId="77777777" w:rsidR="004A4966" w:rsidRPr="008E6ECA" w:rsidRDefault="004A4966" w:rsidP="004A4966">
      <w:pPr>
        <w:spacing w:before="1"/>
        <w:ind w:left="567"/>
        <w:rPr>
          <w:rFonts w:asciiTheme="minorHAnsi" w:hAnsiTheme="minorHAnsi" w:cstheme="minorHAnsi"/>
          <w:b/>
          <w:i/>
          <w:sz w:val="20"/>
          <w:szCs w:val="20"/>
        </w:rPr>
      </w:pPr>
    </w:p>
    <w:p w14:paraId="5E565126" w14:textId="77777777" w:rsidR="004A4966" w:rsidRPr="008E6ECA" w:rsidRDefault="004A4966" w:rsidP="004A4966">
      <w:pPr>
        <w:spacing w:before="1"/>
        <w:ind w:left="567"/>
        <w:rPr>
          <w:rFonts w:asciiTheme="minorHAnsi" w:hAnsiTheme="minorHAnsi" w:cstheme="minorHAnsi"/>
          <w:b/>
          <w:i/>
          <w:sz w:val="20"/>
          <w:szCs w:val="20"/>
        </w:rPr>
      </w:pPr>
      <w:r w:rsidRPr="008E6ECA">
        <w:rPr>
          <w:rFonts w:asciiTheme="minorHAnsi" w:hAnsiTheme="minorHAnsi" w:cstheme="minorHAnsi"/>
          <w:b/>
          <w:i/>
          <w:sz w:val="20"/>
          <w:szCs w:val="20"/>
        </w:rPr>
        <w:t>Moyle Investments</w:t>
      </w:r>
    </w:p>
    <w:p w14:paraId="30740396" w14:textId="77777777" w:rsidR="004A4966" w:rsidRPr="008E6ECA" w:rsidRDefault="004A4966" w:rsidP="004A4966">
      <w:pPr>
        <w:ind w:left="567" w:right="1207"/>
        <w:jc w:val="both"/>
        <w:rPr>
          <w:rFonts w:asciiTheme="minorHAnsi" w:hAnsiTheme="minorHAnsi" w:cstheme="minorHAnsi"/>
          <w:sz w:val="20"/>
          <w:szCs w:val="20"/>
        </w:rPr>
      </w:pPr>
      <w:r w:rsidRPr="008E6ECA">
        <w:rPr>
          <w:rFonts w:asciiTheme="minorHAnsi" w:hAnsiTheme="minorHAnsi" w:cstheme="minorHAnsi"/>
          <w:sz w:val="20"/>
          <w:szCs w:val="20"/>
        </w:rPr>
        <w:t xml:space="preserve">In December 2017, The Company’s wholly owned subsidiary, </w:t>
      </w:r>
      <w:proofErr w:type="spellStart"/>
      <w:r w:rsidRPr="008E6ECA">
        <w:rPr>
          <w:rFonts w:asciiTheme="minorHAnsi" w:hAnsiTheme="minorHAnsi" w:cstheme="minorHAnsi"/>
          <w:sz w:val="20"/>
          <w:szCs w:val="20"/>
        </w:rPr>
        <w:t>InfraStrata</w:t>
      </w:r>
      <w:proofErr w:type="spellEnd"/>
      <w:r w:rsidRPr="008E6ECA">
        <w:rPr>
          <w:rFonts w:asciiTheme="minorHAnsi" w:hAnsiTheme="minorHAnsi" w:cstheme="minorHAnsi"/>
          <w:sz w:val="20"/>
          <w:szCs w:val="20"/>
        </w:rPr>
        <w:t xml:space="preserve"> UK Limited increased its ownership in IMEL from 90% to 100% by acquiring the remaining interest from Moyle Energy Investments Limited at par value. In recognition of the support by Moyle of the gas storage project at </w:t>
      </w:r>
      <w:proofErr w:type="spellStart"/>
      <w:r w:rsidRPr="008E6ECA">
        <w:rPr>
          <w:rFonts w:asciiTheme="minorHAnsi" w:hAnsiTheme="minorHAnsi" w:cstheme="minorHAnsi"/>
          <w:sz w:val="20"/>
          <w:szCs w:val="20"/>
        </w:rPr>
        <w:t>Islandmagee</w:t>
      </w:r>
      <w:proofErr w:type="spellEnd"/>
      <w:r w:rsidRPr="008E6ECA">
        <w:rPr>
          <w:rFonts w:asciiTheme="minorHAnsi" w:hAnsiTheme="minorHAnsi" w:cstheme="minorHAnsi"/>
          <w:sz w:val="20"/>
          <w:szCs w:val="20"/>
        </w:rPr>
        <w:t xml:space="preserve">, </w:t>
      </w:r>
      <w:proofErr w:type="spellStart"/>
      <w:r w:rsidRPr="008E6ECA">
        <w:rPr>
          <w:rFonts w:asciiTheme="minorHAnsi" w:hAnsiTheme="minorHAnsi" w:cstheme="minorHAnsi"/>
          <w:sz w:val="20"/>
          <w:szCs w:val="20"/>
        </w:rPr>
        <w:t>InfraStrata</w:t>
      </w:r>
      <w:proofErr w:type="spellEnd"/>
      <w:r w:rsidRPr="008E6ECA">
        <w:rPr>
          <w:rFonts w:asciiTheme="minorHAnsi" w:hAnsiTheme="minorHAnsi" w:cstheme="minorHAnsi"/>
          <w:sz w:val="20"/>
          <w:szCs w:val="20"/>
        </w:rPr>
        <w:t xml:space="preserve"> plc will pay Moyle £200,000 on first gas storage.</w:t>
      </w:r>
    </w:p>
    <w:p w14:paraId="6DBA50BB" w14:textId="77777777" w:rsidR="004A4966" w:rsidRPr="00755E14" w:rsidRDefault="004A4966" w:rsidP="004A4966">
      <w:pPr>
        <w:ind w:left="567"/>
        <w:jc w:val="both"/>
        <w:rPr>
          <w:rFonts w:asciiTheme="minorHAnsi" w:hAnsiTheme="minorHAnsi" w:cstheme="minorHAnsi"/>
          <w:sz w:val="20"/>
          <w:szCs w:val="20"/>
        </w:rPr>
      </w:pPr>
    </w:p>
    <w:p w14:paraId="1FB7FB77" w14:textId="416838A7" w:rsidR="004A4966" w:rsidRPr="00755E14" w:rsidRDefault="00F05AA9" w:rsidP="004A4966">
      <w:pPr>
        <w:spacing w:before="1"/>
        <w:ind w:left="567"/>
        <w:rPr>
          <w:rFonts w:asciiTheme="minorHAnsi" w:hAnsiTheme="minorHAnsi" w:cstheme="minorHAnsi"/>
          <w:b/>
          <w:i/>
          <w:sz w:val="20"/>
          <w:szCs w:val="20"/>
        </w:rPr>
      </w:pPr>
      <w:proofErr w:type="spellStart"/>
      <w:r>
        <w:rPr>
          <w:rFonts w:asciiTheme="minorHAnsi" w:hAnsiTheme="minorHAnsi" w:cstheme="minorHAnsi"/>
          <w:b/>
          <w:i/>
          <w:sz w:val="20"/>
          <w:szCs w:val="20"/>
        </w:rPr>
        <w:t>Portum</w:t>
      </w:r>
      <w:proofErr w:type="spellEnd"/>
      <w:r>
        <w:rPr>
          <w:rFonts w:asciiTheme="minorHAnsi" w:hAnsiTheme="minorHAnsi" w:cstheme="minorHAnsi"/>
          <w:b/>
          <w:i/>
          <w:sz w:val="20"/>
          <w:szCs w:val="20"/>
        </w:rPr>
        <w:t xml:space="preserve"> Capitis Asset Backed Facility</w:t>
      </w:r>
    </w:p>
    <w:p w14:paraId="7036BC80" w14:textId="565246D1" w:rsidR="004A4966" w:rsidRPr="00755E14" w:rsidRDefault="004A4966" w:rsidP="004A4966">
      <w:pPr>
        <w:pStyle w:val="BodyText"/>
        <w:ind w:left="567" w:right="1307"/>
        <w:rPr>
          <w:rFonts w:asciiTheme="minorHAnsi" w:hAnsiTheme="minorHAnsi" w:cstheme="minorHAnsi"/>
          <w:sz w:val="20"/>
          <w:szCs w:val="20"/>
        </w:rPr>
      </w:pPr>
      <w:r w:rsidRPr="00755E14">
        <w:rPr>
          <w:rFonts w:asciiTheme="minorHAnsi" w:hAnsiTheme="minorHAnsi" w:cstheme="minorHAnsi"/>
          <w:sz w:val="20"/>
          <w:szCs w:val="20"/>
        </w:rPr>
        <w:t xml:space="preserve">The Company retains only one long term loan on its books which is the asset backed facility provided by </w:t>
      </w:r>
      <w:proofErr w:type="spellStart"/>
      <w:r w:rsidRPr="00755E14">
        <w:rPr>
          <w:rFonts w:asciiTheme="minorHAnsi" w:hAnsiTheme="minorHAnsi" w:cstheme="minorHAnsi"/>
          <w:sz w:val="20"/>
          <w:szCs w:val="20"/>
        </w:rPr>
        <w:t>Portum</w:t>
      </w:r>
      <w:proofErr w:type="spellEnd"/>
      <w:r w:rsidRPr="00755E14">
        <w:rPr>
          <w:rFonts w:asciiTheme="minorHAnsi" w:hAnsiTheme="minorHAnsi" w:cstheme="minorHAnsi"/>
          <w:sz w:val="20"/>
          <w:szCs w:val="20"/>
        </w:rPr>
        <w:t xml:space="preserve"> Capitis in February 2020. This asset backed facility is an interest only facility that has a 2-year maturity and payable as a bullet payment in February 2022.</w:t>
      </w:r>
    </w:p>
    <w:p w14:paraId="7EEA6425" w14:textId="77777777" w:rsidR="004A4966" w:rsidRPr="008E6ECA" w:rsidRDefault="004A4966" w:rsidP="004A4966">
      <w:pPr>
        <w:spacing w:before="1"/>
        <w:ind w:left="567"/>
        <w:rPr>
          <w:rFonts w:asciiTheme="minorHAnsi" w:hAnsiTheme="minorHAnsi" w:cstheme="minorHAnsi"/>
          <w:sz w:val="20"/>
          <w:szCs w:val="20"/>
        </w:rPr>
      </w:pPr>
    </w:p>
    <w:p w14:paraId="0110E425" w14:textId="77777777" w:rsidR="004A4966" w:rsidRPr="008E6ECA" w:rsidRDefault="004A4966" w:rsidP="004A4966">
      <w:pPr>
        <w:spacing w:before="1"/>
        <w:ind w:left="567"/>
        <w:rPr>
          <w:rFonts w:asciiTheme="minorHAnsi" w:hAnsiTheme="minorHAnsi" w:cstheme="minorHAnsi"/>
          <w:b/>
          <w:i/>
          <w:sz w:val="20"/>
          <w:szCs w:val="20"/>
        </w:rPr>
      </w:pPr>
      <w:r w:rsidRPr="008E6ECA">
        <w:rPr>
          <w:rFonts w:asciiTheme="minorHAnsi" w:hAnsiTheme="minorHAnsi" w:cstheme="minorHAnsi"/>
          <w:b/>
          <w:bCs/>
          <w:i/>
          <w:iCs/>
          <w:sz w:val="20"/>
          <w:szCs w:val="20"/>
        </w:rPr>
        <w:t>Deferred consideration</w:t>
      </w:r>
    </w:p>
    <w:p w14:paraId="000D06EF" w14:textId="3A2A7F0D" w:rsidR="004A4966" w:rsidRDefault="004A4966" w:rsidP="004A4966">
      <w:pPr>
        <w:spacing w:before="1"/>
        <w:ind w:left="567" w:right="1307"/>
        <w:rPr>
          <w:rFonts w:asciiTheme="minorHAnsi" w:hAnsiTheme="minorHAnsi" w:cstheme="minorHAnsi"/>
          <w:sz w:val="20"/>
          <w:szCs w:val="20"/>
        </w:rPr>
      </w:pPr>
      <w:r w:rsidRPr="008E6ECA">
        <w:rPr>
          <w:rFonts w:asciiTheme="minorHAnsi" w:hAnsiTheme="minorHAnsi" w:cstheme="minorHAnsi"/>
          <w:sz w:val="20"/>
          <w:szCs w:val="20"/>
        </w:rPr>
        <w:t xml:space="preserve">The total consideration payable to the </w:t>
      </w:r>
      <w:r>
        <w:rPr>
          <w:rFonts w:asciiTheme="minorHAnsi" w:hAnsiTheme="minorHAnsi" w:cstheme="minorHAnsi"/>
          <w:sz w:val="20"/>
          <w:szCs w:val="20"/>
        </w:rPr>
        <w:t>vendors</w:t>
      </w:r>
      <w:r w:rsidRPr="008E6ECA">
        <w:rPr>
          <w:rFonts w:asciiTheme="minorHAnsi" w:hAnsiTheme="minorHAnsi" w:cstheme="minorHAnsi"/>
          <w:sz w:val="20"/>
          <w:szCs w:val="20"/>
        </w:rPr>
        <w:t xml:space="preserve"> towards the </w:t>
      </w:r>
      <w:r>
        <w:rPr>
          <w:rFonts w:asciiTheme="minorHAnsi" w:hAnsiTheme="minorHAnsi" w:cstheme="minorHAnsi"/>
          <w:sz w:val="20"/>
          <w:szCs w:val="20"/>
        </w:rPr>
        <w:t>a</w:t>
      </w:r>
      <w:r w:rsidRPr="008E6ECA">
        <w:rPr>
          <w:rFonts w:asciiTheme="minorHAnsi" w:hAnsiTheme="minorHAnsi" w:cstheme="minorHAnsi"/>
          <w:sz w:val="20"/>
          <w:szCs w:val="20"/>
        </w:rPr>
        <w:t>cquisition of Harland and Wolff (Appledore) Limited has been agreed at £7 million. Of this</w:t>
      </w:r>
      <w:r>
        <w:rPr>
          <w:rFonts w:asciiTheme="minorHAnsi" w:hAnsiTheme="minorHAnsi" w:cstheme="minorHAnsi"/>
          <w:sz w:val="20"/>
          <w:szCs w:val="20"/>
        </w:rPr>
        <w:t>,</w:t>
      </w:r>
      <w:r w:rsidRPr="008E6ECA">
        <w:rPr>
          <w:rFonts w:asciiTheme="minorHAnsi" w:hAnsiTheme="minorHAnsi" w:cstheme="minorHAnsi"/>
          <w:sz w:val="20"/>
          <w:szCs w:val="20"/>
        </w:rPr>
        <w:t xml:space="preserve"> a sum of £1.5 million is </w:t>
      </w:r>
      <w:r w:rsidR="002C0540">
        <w:rPr>
          <w:rFonts w:asciiTheme="minorHAnsi" w:hAnsiTheme="minorHAnsi" w:cstheme="minorHAnsi"/>
          <w:sz w:val="20"/>
          <w:szCs w:val="20"/>
        </w:rPr>
        <w:t xml:space="preserve">now </w:t>
      </w:r>
      <w:r w:rsidRPr="008E6ECA">
        <w:rPr>
          <w:rFonts w:asciiTheme="minorHAnsi" w:hAnsiTheme="minorHAnsi" w:cstheme="minorHAnsi"/>
          <w:sz w:val="20"/>
          <w:szCs w:val="20"/>
        </w:rPr>
        <w:t xml:space="preserve">payable </w:t>
      </w:r>
      <w:r w:rsidR="002C0540">
        <w:rPr>
          <w:rFonts w:asciiTheme="minorHAnsi" w:hAnsiTheme="minorHAnsi" w:cstheme="minorHAnsi"/>
          <w:sz w:val="20"/>
          <w:szCs w:val="20"/>
        </w:rPr>
        <w:t>at the end of November</w:t>
      </w:r>
      <w:r w:rsidRPr="008E6ECA">
        <w:rPr>
          <w:rFonts w:asciiTheme="minorHAnsi" w:hAnsiTheme="minorHAnsi" w:cstheme="minorHAnsi"/>
          <w:sz w:val="20"/>
          <w:szCs w:val="20"/>
        </w:rPr>
        <w:t xml:space="preserve"> 2021, £2million is p</w:t>
      </w:r>
      <w:r>
        <w:rPr>
          <w:rFonts w:asciiTheme="minorHAnsi" w:hAnsiTheme="minorHAnsi" w:cstheme="minorHAnsi"/>
          <w:sz w:val="20"/>
          <w:szCs w:val="20"/>
        </w:rPr>
        <w:t>ayable on 31 August 2022 and a further £2</w:t>
      </w:r>
      <w:r w:rsidRPr="008E6ECA">
        <w:rPr>
          <w:rFonts w:asciiTheme="minorHAnsi" w:hAnsiTheme="minorHAnsi" w:cstheme="minorHAnsi"/>
          <w:sz w:val="20"/>
          <w:szCs w:val="20"/>
        </w:rPr>
        <w:t xml:space="preserve">million is payable on 31 January 2023 which has been recognised as deferred consideration in the Company’s balance sheet. </w:t>
      </w:r>
    </w:p>
    <w:p w14:paraId="0ECFA7BD" w14:textId="77777777" w:rsidR="004A4966" w:rsidRDefault="004A4966" w:rsidP="004A4966">
      <w:pPr>
        <w:spacing w:before="1"/>
        <w:ind w:left="567" w:right="1307"/>
        <w:rPr>
          <w:rFonts w:asciiTheme="minorHAnsi" w:hAnsiTheme="minorHAnsi" w:cstheme="minorHAnsi"/>
          <w:sz w:val="20"/>
          <w:szCs w:val="20"/>
        </w:rPr>
      </w:pPr>
    </w:p>
    <w:p w14:paraId="4F62C361" w14:textId="16089280" w:rsidR="004A4966" w:rsidRPr="0039116E" w:rsidRDefault="004A4966" w:rsidP="004A4966">
      <w:pPr>
        <w:rPr>
          <w:rFonts w:asciiTheme="minorHAnsi" w:hAnsiTheme="minorHAnsi" w:cstheme="minorHAnsi"/>
          <w:sz w:val="20"/>
          <w:szCs w:val="20"/>
        </w:rPr>
      </w:pPr>
      <w:r w:rsidRPr="0039116E">
        <w:rPr>
          <w:rFonts w:asciiTheme="minorHAnsi" w:eastAsia="Times New Roman" w:hAnsiTheme="minorHAnsi" w:cstheme="minorHAnsi"/>
          <w:b/>
          <w:bCs/>
          <w:color w:val="000000"/>
          <w:sz w:val="20"/>
          <w:szCs w:val="20"/>
        </w:rPr>
        <w:t>8. Issue of shares during the interim period</w:t>
      </w:r>
    </w:p>
    <w:p w14:paraId="1AEE390D" w14:textId="7E42CC42" w:rsidR="004A4966" w:rsidRPr="00712EE0" w:rsidRDefault="004A4966" w:rsidP="004A4966">
      <w:pPr>
        <w:pStyle w:val="ga"/>
        <w:spacing w:before="0" w:beforeAutospacing="0" w:after="0" w:afterAutospacing="0"/>
        <w:jc w:val="both"/>
        <w:rPr>
          <w:rFonts w:asciiTheme="minorHAnsi" w:hAnsiTheme="minorHAnsi" w:cstheme="minorHAnsi"/>
          <w:color w:val="000000"/>
          <w:sz w:val="20"/>
          <w:szCs w:val="20"/>
        </w:rPr>
      </w:pPr>
      <w:r w:rsidRPr="00712EE0">
        <w:rPr>
          <w:rFonts w:asciiTheme="minorHAnsi" w:hAnsiTheme="minorHAnsi" w:cstheme="minorHAnsi"/>
          <w:sz w:val="20"/>
          <w:szCs w:val="20"/>
        </w:rPr>
        <w:t>On 23 December</w:t>
      </w:r>
      <w:r w:rsidR="008F434A">
        <w:rPr>
          <w:rFonts w:asciiTheme="minorHAnsi" w:hAnsiTheme="minorHAnsi" w:cstheme="minorHAnsi"/>
          <w:sz w:val="20"/>
          <w:szCs w:val="20"/>
        </w:rPr>
        <w:t xml:space="preserve"> 2020</w:t>
      </w:r>
      <w:r w:rsidRPr="00712EE0">
        <w:rPr>
          <w:rFonts w:asciiTheme="minorHAnsi" w:hAnsiTheme="minorHAnsi" w:cstheme="minorHAnsi"/>
          <w:sz w:val="20"/>
          <w:szCs w:val="20"/>
        </w:rPr>
        <w:t xml:space="preserve">, the Company announced that it had conditionally raised, in aggregate, </w:t>
      </w:r>
      <w:r w:rsidRPr="00712EE0">
        <w:rPr>
          <w:rStyle w:val="fs"/>
          <w:rFonts w:asciiTheme="minorHAnsi" w:hAnsiTheme="minorHAnsi" w:cstheme="minorHAnsi"/>
          <w:color w:val="000000"/>
          <w:sz w:val="20"/>
          <w:szCs w:val="20"/>
        </w:rPr>
        <w:t>up to £7.4 million (before expenses) by way of a placing of new 14,222,225 Ordinary Shares at a price of 45 pence per share to existing and new investors (the "Placing"), as well as an Open Offer of up to 2,239,465 new Ordinary Shares to be issued to Qualifying Shareholders at a price of 45 pence per share. The Placing was conducted in two tranches.</w:t>
      </w:r>
    </w:p>
    <w:p w14:paraId="400F5CB3" w14:textId="77777777" w:rsidR="004A4966" w:rsidRPr="00712EE0" w:rsidRDefault="004A4966" w:rsidP="004A4966">
      <w:pPr>
        <w:pStyle w:val="ga"/>
        <w:spacing w:before="0" w:beforeAutospacing="0" w:after="0" w:afterAutospacing="0"/>
        <w:jc w:val="both"/>
        <w:rPr>
          <w:rFonts w:asciiTheme="minorHAnsi" w:hAnsiTheme="minorHAnsi" w:cstheme="minorHAnsi"/>
          <w:color w:val="000000"/>
          <w:sz w:val="20"/>
          <w:szCs w:val="20"/>
        </w:rPr>
      </w:pPr>
      <w:r w:rsidRPr="00712EE0">
        <w:rPr>
          <w:rStyle w:val="fs"/>
          <w:rFonts w:asciiTheme="minorHAnsi" w:hAnsiTheme="minorHAnsi" w:cstheme="minorHAnsi"/>
          <w:color w:val="000000"/>
          <w:sz w:val="20"/>
          <w:szCs w:val="20"/>
        </w:rPr>
        <w:t> </w:t>
      </w:r>
    </w:p>
    <w:p w14:paraId="2864029D" w14:textId="77777777" w:rsidR="004A4966" w:rsidRPr="00712EE0" w:rsidRDefault="004A4966" w:rsidP="004A4966">
      <w:pPr>
        <w:pStyle w:val="gk"/>
        <w:spacing w:before="0" w:beforeAutospacing="0" w:after="0" w:afterAutospacing="0"/>
        <w:ind w:left="360" w:hanging="360"/>
        <w:jc w:val="both"/>
        <w:rPr>
          <w:rStyle w:val="fg"/>
          <w:rFonts w:asciiTheme="minorHAnsi" w:hAnsiTheme="minorHAnsi" w:cstheme="minorHAnsi"/>
          <w:color w:val="000000"/>
          <w:sz w:val="20"/>
          <w:szCs w:val="20"/>
        </w:rPr>
      </w:pPr>
      <w:r w:rsidRPr="00712EE0">
        <w:rPr>
          <w:rStyle w:val="fd"/>
          <w:rFonts w:asciiTheme="minorHAnsi" w:hAnsiTheme="minorHAnsi" w:cstheme="minorHAnsi"/>
          <w:color w:val="000000"/>
          <w:sz w:val="20"/>
          <w:szCs w:val="20"/>
        </w:rPr>
        <w:t>The net proceeds from the Placing </w:t>
      </w:r>
      <w:r w:rsidRPr="00712EE0">
        <w:rPr>
          <w:rStyle w:val="fg"/>
          <w:rFonts w:asciiTheme="minorHAnsi" w:hAnsiTheme="minorHAnsi" w:cstheme="minorHAnsi"/>
          <w:color w:val="000000"/>
          <w:sz w:val="20"/>
          <w:szCs w:val="20"/>
        </w:rPr>
        <w:t>strengthen</w:t>
      </w:r>
      <w:r>
        <w:rPr>
          <w:rStyle w:val="fg"/>
          <w:rFonts w:asciiTheme="minorHAnsi" w:hAnsiTheme="minorHAnsi" w:cstheme="minorHAnsi"/>
          <w:color w:val="000000"/>
          <w:sz w:val="20"/>
          <w:szCs w:val="20"/>
        </w:rPr>
        <w:t>ed</w:t>
      </w:r>
      <w:r w:rsidRPr="00712EE0">
        <w:rPr>
          <w:rStyle w:val="fg"/>
          <w:rFonts w:asciiTheme="minorHAnsi" w:hAnsiTheme="minorHAnsi" w:cstheme="minorHAnsi"/>
          <w:color w:val="000000"/>
          <w:sz w:val="20"/>
          <w:szCs w:val="20"/>
        </w:rPr>
        <w:t xml:space="preserve"> the Company's balance sheet and continue to enable it to tender </w:t>
      </w:r>
    </w:p>
    <w:p w14:paraId="1FC514BB" w14:textId="77777777" w:rsidR="004A4966" w:rsidRPr="00712EE0" w:rsidRDefault="004A4966" w:rsidP="004A4966">
      <w:pPr>
        <w:pStyle w:val="gk"/>
        <w:spacing w:before="0" w:beforeAutospacing="0" w:after="0" w:afterAutospacing="0"/>
        <w:ind w:left="360" w:hanging="360"/>
        <w:jc w:val="both"/>
        <w:rPr>
          <w:rFonts w:asciiTheme="minorHAnsi" w:hAnsiTheme="minorHAnsi" w:cstheme="minorHAnsi"/>
          <w:color w:val="000000"/>
          <w:sz w:val="20"/>
          <w:szCs w:val="20"/>
        </w:rPr>
      </w:pPr>
      <w:r w:rsidRPr="00712EE0">
        <w:rPr>
          <w:rStyle w:val="fg"/>
          <w:rFonts w:asciiTheme="minorHAnsi" w:hAnsiTheme="minorHAnsi" w:cstheme="minorHAnsi"/>
          <w:color w:val="000000"/>
          <w:sz w:val="20"/>
          <w:szCs w:val="20"/>
        </w:rPr>
        <w:t>for and win larger contracts</w:t>
      </w:r>
      <w:r w:rsidRPr="00712EE0">
        <w:rPr>
          <w:rStyle w:val="fo"/>
          <w:rFonts w:asciiTheme="minorHAnsi" w:hAnsiTheme="minorHAnsi" w:cstheme="minorHAnsi"/>
          <w:color w:val="212721"/>
          <w:sz w:val="20"/>
          <w:szCs w:val="20"/>
        </w:rPr>
        <w:t>, as well as to:</w:t>
      </w:r>
    </w:p>
    <w:p w14:paraId="66B91FA6" w14:textId="77777777" w:rsidR="004A4966" w:rsidRPr="00712EE0" w:rsidRDefault="004A4966" w:rsidP="004A4966">
      <w:pPr>
        <w:pStyle w:val="gl"/>
        <w:spacing w:before="0" w:beforeAutospacing="0" w:after="240" w:afterAutospacing="0"/>
        <w:ind w:left="1080" w:hanging="360"/>
        <w:jc w:val="both"/>
        <w:rPr>
          <w:rFonts w:asciiTheme="minorHAnsi" w:hAnsiTheme="minorHAnsi" w:cstheme="minorHAnsi"/>
          <w:color w:val="000000"/>
          <w:sz w:val="20"/>
          <w:szCs w:val="20"/>
        </w:rPr>
      </w:pPr>
      <w:r w:rsidRPr="00712EE0">
        <w:rPr>
          <w:rStyle w:val="fb"/>
          <w:rFonts w:asciiTheme="minorHAnsi" w:hAnsiTheme="minorHAnsi" w:cstheme="minorHAnsi"/>
          <w:color w:val="212721"/>
          <w:sz w:val="20"/>
          <w:szCs w:val="20"/>
        </w:rPr>
        <w:t>o  </w:t>
      </w:r>
      <w:r w:rsidRPr="00712EE0">
        <w:rPr>
          <w:rStyle w:val="fo"/>
          <w:rFonts w:asciiTheme="minorHAnsi" w:hAnsiTheme="minorHAnsi" w:cstheme="minorHAnsi"/>
          <w:color w:val="212721"/>
          <w:sz w:val="20"/>
          <w:szCs w:val="20"/>
        </w:rPr>
        <w:t>provide</w:t>
      </w:r>
      <w:r>
        <w:rPr>
          <w:rStyle w:val="fo"/>
          <w:rFonts w:asciiTheme="minorHAnsi" w:hAnsiTheme="minorHAnsi" w:cstheme="minorHAnsi"/>
          <w:color w:val="212721"/>
          <w:sz w:val="20"/>
          <w:szCs w:val="20"/>
        </w:rPr>
        <w:t>d</w:t>
      </w:r>
      <w:r w:rsidRPr="00712EE0">
        <w:rPr>
          <w:rStyle w:val="fo"/>
          <w:rFonts w:asciiTheme="minorHAnsi" w:hAnsiTheme="minorHAnsi" w:cstheme="minorHAnsi"/>
          <w:color w:val="212721"/>
          <w:sz w:val="20"/>
          <w:szCs w:val="20"/>
        </w:rPr>
        <w:t xml:space="preserve"> capital expenditure for inter alia, the acquisition of a robotic welding panel line and other yard refurbishment programmes in preparation for the potential award and subsequent execution of fabrication contracts; and</w:t>
      </w:r>
    </w:p>
    <w:p w14:paraId="67001BB6" w14:textId="77777777" w:rsidR="004A4966" w:rsidRPr="00712EE0" w:rsidRDefault="004A4966" w:rsidP="004A4966">
      <w:pPr>
        <w:pStyle w:val="gm"/>
        <w:spacing w:before="0" w:beforeAutospacing="0" w:after="0" w:afterAutospacing="0"/>
        <w:ind w:left="1080" w:hanging="360"/>
        <w:jc w:val="both"/>
        <w:rPr>
          <w:rFonts w:asciiTheme="minorHAnsi" w:hAnsiTheme="minorHAnsi" w:cstheme="minorHAnsi"/>
          <w:color w:val="000000"/>
          <w:sz w:val="20"/>
          <w:szCs w:val="20"/>
        </w:rPr>
      </w:pPr>
      <w:r w:rsidRPr="00712EE0">
        <w:rPr>
          <w:rStyle w:val="ez"/>
          <w:rFonts w:asciiTheme="minorHAnsi" w:hAnsiTheme="minorHAnsi" w:cstheme="minorHAnsi"/>
          <w:color w:val="212721"/>
          <w:sz w:val="20"/>
          <w:szCs w:val="20"/>
        </w:rPr>
        <w:t>o  </w:t>
      </w:r>
      <w:r w:rsidRPr="00712EE0">
        <w:rPr>
          <w:rStyle w:val="ey"/>
          <w:rFonts w:asciiTheme="minorHAnsi" w:hAnsiTheme="minorHAnsi" w:cstheme="minorHAnsi"/>
          <w:color w:val="212721"/>
          <w:sz w:val="20"/>
          <w:szCs w:val="20"/>
        </w:rPr>
        <w:t>provide</w:t>
      </w:r>
      <w:r>
        <w:rPr>
          <w:rStyle w:val="ey"/>
          <w:rFonts w:asciiTheme="minorHAnsi" w:hAnsiTheme="minorHAnsi" w:cstheme="minorHAnsi"/>
          <w:color w:val="212721"/>
          <w:sz w:val="20"/>
          <w:szCs w:val="20"/>
        </w:rPr>
        <w:t>d</w:t>
      </w:r>
      <w:r w:rsidRPr="00712EE0">
        <w:rPr>
          <w:rStyle w:val="ey"/>
          <w:rFonts w:asciiTheme="minorHAnsi" w:hAnsiTheme="minorHAnsi" w:cstheme="minorHAnsi"/>
          <w:color w:val="212721"/>
          <w:sz w:val="20"/>
          <w:szCs w:val="20"/>
        </w:rPr>
        <w:t xml:space="preserve"> sufficient working capital to improve negotiating position on new contract opportunities by removing the potential for an emphasis of matter statement within upcoming full year results.</w:t>
      </w:r>
    </w:p>
    <w:p w14:paraId="0A34115A" w14:textId="77777777" w:rsidR="004A4966" w:rsidRPr="00712EE0" w:rsidRDefault="004A4966" w:rsidP="004A4966">
      <w:pPr>
        <w:pStyle w:val="cx"/>
        <w:spacing w:before="0" w:beforeAutospacing="0" w:after="0" w:afterAutospacing="0"/>
        <w:jc w:val="both"/>
        <w:rPr>
          <w:rFonts w:asciiTheme="minorHAnsi" w:hAnsiTheme="minorHAnsi" w:cstheme="minorHAnsi"/>
          <w:sz w:val="20"/>
          <w:szCs w:val="20"/>
        </w:rPr>
      </w:pPr>
    </w:p>
    <w:p w14:paraId="0A8A6352" w14:textId="61E8FD0F" w:rsidR="004A4966" w:rsidRDefault="004A4966" w:rsidP="004A4966">
      <w:pPr>
        <w:pStyle w:val="cx"/>
        <w:spacing w:before="0" w:beforeAutospacing="0" w:after="0" w:afterAutospacing="0"/>
        <w:jc w:val="both"/>
        <w:rPr>
          <w:rFonts w:asciiTheme="minorHAnsi" w:hAnsiTheme="minorHAnsi" w:cstheme="minorHAnsi"/>
          <w:color w:val="000000"/>
          <w:sz w:val="20"/>
          <w:szCs w:val="20"/>
        </w:rPr>
      </w:pPr>
      <w:r w:rsidRPr="00712EE0">
        <w:rPr>
          <w:rFonts w:asciiTheme="minorHAnsi" w:hAnsiTheme="minorHAnsi" w:cstheme="minorHAnsi"/>
          <w:sz w:val="20"/>
          <w:szCs w:val="20"/>
        </w:rPr>
        <w:t xml:space="preserve">On 13 January 2021, the Company announced that </w:t>
      </w:r>
      <w:r w:rsidRPr="00712EE0">
        <w:rPr>
          <w:rFonts w:asciiTheme="minorHAnsi" w:hAnsiTheme="minorHAnsi" w:cstheme="minorHAnsi"/>
          <w:color w:val="000000"/>
          <w:sz w:val="20"/>
          <w:szCs w:val="20"/>
        </w:rPr>
        <w:t>all resolutions put to Shareholders at the General Meeting held earlier on that day in connection with the Placing and Open Offer of 23 December 2020 to raise up to </w:t>
      </w:r>
      <w:r w:rsidRPr="00712EE0">
        <w:rPr>
          <w:rFonts w:asciiTheme="minorHAnsi" w:hAnsiTheme="minorHAnsi" w:cstheme="minorHAnsi"/>
          <w:sz w:val="20"/>
          <w:szCs w:val="20"/>
        </w:rPr>
        <w:t>£7.4 million</w:t>
      </w:r>
      <w:r w:rsidRPr="00712EE0">
        <w:rPr>
          <w:rFonts w:asciiTheme="minorHAnsi" w:hAnsiTheme="minorHAnsi" w:cstheme="minorHAnsi"/>
          <w:color w:val="000000"/>
          <w:sz w:val="20"/>
          <w:szCs w:val="20"/>
        </w:rPr>
        <w:t> (before expenses), were duly passed. Further, the Company was pleased to announce that it had raised the maximum amount possible under the Open Offer of </w:t>
      </w:r>
      <w:r w:rsidRPr="00712EE0">
        <w:rPr>
          <w:rFonts w:asciiTheme="minorHAnsi" w:hAnsiTheme="minorHAnsi" w:cstheme="minorHAnsi"/>
          <w:sz w:val="20"/>
          <w:szCs w:val="20"/>
        </w:rPr>
        <w:t>£1.0 million</w:t>
      </w:r>
      <w:r w:rsidRPr="00712EE0">
        <w:rPr>
          <w:rFonts w:asciiTheme="minorHAnsi" w:hAnsiTheme="minorHAnsi" w:cstheme="minorHAnsi"/>
          <w:color w:val="000000"/>
          <w:sz w:val="20"/>
          <w:szCs w:val="20"/>
        </w:rPr>
        <w:t> (before expenses), having received valid applications for 5,173,144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in aggregate, including 4,025,457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applied for under the Excess Application Facility. Accordingly, the Company issued the maximum of 2,239,465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to be admitted to trading on AIM and undertook a scaling back process, on a pro-rata basis to return oversubscribed amounts to shareholders.</w:t>
      </w:r>
    </w:p>
    <w:p w14:paraId="42410A02" w14:textId="5429B53C" w:rsidR="00776C04" w:rsidRDefault="00776C04" w:rsidP="004A4966">
      <w:pPr>
        <w:pStyle w:val="cx"/>
        <w:spacing w:before="0" w:beforeAutospacing="0" w:after="0" w:afterAutospacing="0"/>
        <w:jc w:val="both"/>
        <w:rPr>
          <w:rFonts w:asciiTheme="minorHAnsi" w:hAnsiTheme="minorHAnsi" w:cstheme="minorHAnsi"/>
          <w:color w:val="000000"/>
          <w:sz w:val="20"/>
          <w:szCs w:val="20"/>
        </w:rPr>
      </w:pPr>
    </w:p>
    <w:p w14:paraId="5F9E93DE" w14:textId="52CC0B7C" w:rsidR="008F434A" w:rsidRPr="00712EE0" w:rsidRDefault="008F434A" w:rsidP="008F434A">
      <w:pPr>
        <w:pStyle w:val="ga"/>
        <w:spacing w:before="0" w:beforeAutospacing="0" w:after="0" w:afterAutospacing="0"/>
        <w:jc w:val="both"/>
        <w:rPr>
          <w:rFonts w:asciiTheme="minorHAnsi" w:hAnsiTheme="minorHAnsi" w:cstheme="minorHAnsi"/>
          <w:color w:val="000000"/>
          <w:sz w:val="20"/>
          <w:szCs w:val="20"/>
        </w:rPr>
      </w:pPr>
      <w:r w:rsidRPr="00712EE0">
        <w:rPr>
          <w:rFonts w:asciiTheme="minorHAnsi" w:hAnsiTheme="minorHAnsi" w:cstheme="minorHAnsi"/>
          <w:sz w:val="20"/>
          <w:szCs w:val="20"/>
        </w:rPr>
        <w:lastRenderedPageBreak/>
        <w:t xml:space="preserve">On </w:t>
      </w:r>
      <w:r>
        <w:rPr>
          <w:rFonts w:asciiTheme="minorHAnsi" w:hAnsiTheme="minorHAnsi" w:cstheme="minorHAnsi"/>
          <w:sz w:val="20"/>
          <w:szCs w:val="20"/>
        </w:rPr>
        <w:t>5 May 2021</w:t>
      </w:r>
      <w:r w:rsidRPr="00712EE0">
        <w:rPr>
          <w:rFonts w:asciiTheme="minorHAnsi" w:hAnsiTheme="minorHAnsi" w:cstheme="minorHAnsi"/>
          <w:sz w:val="20"/>
          <w:szCs w:val="20"/>
        </w:rPr>
        <w:t xml:space="preserve">, the Company announced that it had conditionally raised, in aggregate, </w:t>
      </w:r>
      <w:r w:rsidRPr="00712EE0">
        <w:rPr>
          <w:rStyle w:val="fs"/>
          <w:rFonts w:asciiTheme="minorHAnsi" w:hAnsiTheme="minorHAnsi" w:cstheme="minorHAnsi"/>
          <w:color w:val="000000"/>
          <w:sz w:val="20"/>
          <w:szCs w:val="20"/>
        </w:rPr>
        <w:t>up to £</w:t>
      </w:r>
      <w:r w:rsidR="00370A94">
        <w:rPr>
          <w:rStyle w:val="fs"/>
          <w:rFonts w:asciiTheme="minorHAnsi" w:hAnsiTheme="minorHAnsi" w:cstheme="minorHAnsi"/>
          <w:color w:val="000000"/>
          <w:sz w:val="20"/>
          <w:szCs w:val="20"/>
        </w:rPr>
        <w:t>10.30</w:t>
      </w:r>
      <w:r w:rsidRPr="00712EE0">
        <w:rPr>
          <w:rStyle w:val="fs"/>
          <w:rFonts w:asciiTheme="minorHAnsi" w:hAnsiTheme="minorHAnsi" w:cstheme="minorHAnsi"/>
          <w:color w:val="000000"/>
          <w:sz w:val="20"/>
          <w:szCs w:val="20"/>
        </w:rPr>
        <w:t xml:space="preserve"> million (before expenses) by way of a placing of new </w:t>
      </w:r>
      <w:r w:rsidR="00370A94">
        <w:rPr>
          <w:rStyle w:val="fs"/>
          <w:rFonts w:asciiTheme="minorHAnsi" w:hAnsiTheme="minorHAnsi" w:cstheme="minorHAnsi"/>
          <w:color w:val="000000"/>
          <w:sz w:val="20"/>
          <w:szCs w:val="20"/>
        </w:rPr>
        <w:t>34,333,334</w:t>
      </w:r>
      <w:r w:rsidRPr="00712EE0">
        <w:rPr>
          <w:rStyle w:val="fs"/>
          <w:rFonts w:asciiTheme="minorHAnsi" w:hAnsiTheme="minorHAnsi" w:cstheme="minorHAnsi"/>
          <w:color w:val="000000"/>
          <w:sz w:val="20"/>
          <w:szCs w:val="20"/>
        </w:rPr>
        <w:t xml:space="preserve"> Ordinary Shares at a price of </w:t>
      </w:r>
      <w:r w:rsidR="00370A94">
        <w:rPr>
          <w:rStyle w:val="fs"/>
          <w:rFonts w:asciiTheme="minorHAnsi" w:hAnsiTheme="minorHAnsi" w:cstheme="minorHAnsi"/>
          <w:color w:val="000000"/>
          <w:sz w:val="20"/>
          <w:szCs w:val="20"/>
        </w:rPr>
        <w:t>30</w:t>
      </w:r>
      <w:r w:rsidRPr="00712EE0">
        <w:rPr>
          <w:rStyle w:val="fs"/>
          <w:rFonts w:asciiTheme="minorHAnsi" w:hAnsiTheme="minorHAnsi" w:cstheme="minorHAnsi"/>
          <w:color w:val="000000"/>
          <w:sz w:val="20"/>
          <w:szCs w:val="20"/>
        </w:rPr>
        <w:t xml:space="preserve"> pence per share to existing and new investors (the "Placing")</w:t>
      </w:r>
      <w:r w:rsidR="00D02059">
        <w:rPr>
          <w:rStyle w:val="fs"/>
          <w:rFonts w:asciiTheme="minorHAnsi" w:hAnsiTheme="minorHAnsi" w:cstheme="minorHAnsi"/>
          <w:color w:val="000000"/>
          <w:sz w:val="20"/>
          <w:szCs w:val="20"/>
        </w:rPr>
        <w:t>. In addition, the Company raised £1.77 million (before expenses)</w:t>
      </w:r>
      <w:r w:rsidR="00E74378">
        <w:rPr>
          <w:rStyle w:val="fs"/>
          <w:rFonts w:asciiTheme="minorHAnsi" w:hAnsiTheme="minorHAnsi" w:cstheme="minorHAnsi"/>
          <w:color w:val="000000"/>
          <w:sz w:val="20"/>
          <w:szCs w:val="20"/>
        </w:rPr>
        <w:t xml:space="preserve"> via an </w:t>
      </w:r>
      <w:r w:rsidRPr="00712EE0">
        <w:rPr>
          <w:rStyle w:val="fs"/>
          <w:rFonts w:asciiTheme="minorHAnsi" w:hAnsiTheme="minorHAnsi" w:cstheme="minorHAnsi"/>
          <w:color w:val="000000"/>
          <w:sz w:val="20"/>
          <w:szCs w:val="20"/>
        </w:rPr>
        <w:t xml:space="preserve">Open Offer of up to </w:t>
      </w:r>
      <w:r w:rsidR="00F02D31">
        <w:rPr>
          <w:rStyle w:val="fs"/>
          <w:rFonts w:asciiTheme="minorHAnsi" w:hAnsiTheme="minorHAnsi" w:cstheme="minorHAnsi"/>
          <w:color w:val="000000"/>
          <w:sz w:val="20"/>
          <w:szCs w:val="20"/>
        </w:rPr>
        <w:t>5,900,266</w:t>
      </w:r>
      <w:r w:rsidRPr="00712EE0">
        <w:rPr>
          <w:rStyle w:val="fs"/>
          <w:rFonts w:asciiTheme="minorHAnsi" w:hAnsiTheme="minorHAnsi" w:cstheme="minorHAnsi"/>
          <w:color w:val="000000"/>
          <w:sz w:val="20"/>
          <w:szCs w:val="20"/>
        </w:rPr>
        <w:t xml:space="preserve"> new Ordinary Shares </w:t>
      </w:r>
      <w:r w:rsidR="00E74378">
        <w:rPr>
          <w:rStyle w:val="fs"/>
          <w:rFonts w:asciiTheme="minorHAnsi" w:hAnsiTheme="minorHAnsi" w:cstheme="minorHAnsi"/>
          <w:color w:val="000000"/>
          <w:sz w:val="20"/>
          <w:szCs w:val="20"/>
        </w:rPr>
        <w:t xml:space="preserve">that were </w:t>
      </w:r>
      <w:r w:rsidRPr="00712EE0">
        <w:rPr>
          <w:rStyle w:val="fs"/>
          <w:rFonts w:asciiTheme="minorHAnsi" w:hAnsiTheme="minorHAnsi" w:cstheme="minorHAnsi"/>
          <w:color w:val="000000"/>
          <w:sz w:val="20"/>
          <w:szCs w:val="20"/>
        </w:rPr>
        <w:t>issued to Qualifying Shareholders at a price of </w:t>
      </w:r>
      <w:r w:rsidR="00BD4A1C">
        <w:rPr>
          <w:rStyle w:val="fs"/>
          <w:rFonts w:asciiTheme="minorHAnsi" w:hAnsiTheme="minorHAnsi" w:cstheme="minorHAnsi"/>
          <w:color w:val="000000"/>
          <w:sz w:val="20"/>
          <w:szCs w:val="20"/>
        </w:rPr>
        <w:t>30</w:t>
      </w:r>
      <w:r w:rsidRPr="00712EE0">
        <w:rPr>
          <w:rStyle w:val="fs"/>
          <w:rFonts w:asciiTheme="minorHAnsi" w:hAnsiTheme="minorHAnsi" w:cstheme="minorHAnsi"/>
          <w:color w:val="000000"/>
          <w:sz w:val="20"/>
          <w:szCs w:val="20"/>
        </w:rPr>
        <w:t xml:space="preserve"> pence per share. The Placing was conducted in two tranches</w:t>
      </w:r>
      <w:r w:rsidR="00E74378">
        <w:rPr>
          <w:rStyle w:val="fs"/>
          <w:rFonts w:asciiTheme="minorHAnsi" w:hAnsiTheme="minorHAnsi" w:cstheme="minorHAnsi"/>
          <w:color w:val="000000"/>
          <w:sz w:val="20"/>
          <w:szCs w:val="20"/>
        </w:rPr>
        <w:t xml:space="preserve"> and all resolutions were passed </w:t>
      </w:r>
      <w:r w:rsidR="00081BB9">
        <w:rPr>
          <w:rStyle w:val="fs"/>
          <w:rFonts w:asciiTheme="minorHAnsi" w:hAnsiTheme="minorHAnsi" w:cstheme="minorHAnsi"/>
          <w:color w:val="000000"/>
          <w:sz w:val="20"/>
          <w:szCs w:val="20"/>
        </w:rPr>
        <w:t>on 24 May 2021.</w:t>
      </w:r>
    </w:p>
    <w:p w14:paraId="619B9D8A" w14:textId="77777777" w:rsidR="008F434A" w:rsidRPr="00712EE0" w:rsidRDefault="008F434A" w:rsidP="008F434A">
      <w:pPr>
        <w:pStyle w:val="ga"/>
        <w:spacing w:before="0" w:beforeAutospacing="0" w:after="0" w:afterAutospacing="0"/>
        <w:jc w:val="both"/>
        <w:rPr>
          <w:rFonts w:asciiTheme="minorHAnsi" w:hAnsiTheme="minorHAnsi" w:cstheme="minorHAnsi"/>
          <w:color w:val="000000"/>
          <w:sz w:val="20"/>
          <w:szCs w:val="20"/>
        </w:rPr>
      </w:pPr>
      <w:r w:rsidRPr="00712EE0">
        <w:rPr>
          <w:rStyle w:val="fs"/>
          <w:rFonts w:asciiTheme="minorHAnsi" w:hAnsiTheme="minorHAnsi" w:cstheme="minorHAnsi"/>
          <w:color w:val="000000"/>
          <w:sz w:val="20"/>
          <w:szCs w:val="20"/>
        </w:rPr>
        <w:t> </w:t>
      </w:r>
    </w:p>
    <w:p w14:paraId="5B6E9308" w14:textId="794522B1" w:rsidR="008F434A" w:rsidRDefault="008F434A" w:rsidP="008F434A">
      <w:pPr>
        <w:pStyle w:val="cx"/>
        <w:spacing w:before="0" w:beforeAutospacing="0" w:after="0" w:afterAutospacing="0"/>
        <w:jc w:val="both"/>
        <w:rPr>
          <w:rFonts w:asciiTheme="minorHAnsi" w:hAnsiTheme="minorHAnsi" w:cstheme="minorHAnsi"/>
          <w:color w:val="000000"/>
          <w:sz w:val="20"/>
          <w:szCs w:val="20"/>
        </w:rPr>
      </w:pPr>
      <w:r w:rsidRPr="00712EE0">
        <w:rPr>
          <w:rFonts w:asciiTheme="minorHAnsi" w:hAnsiTheme="minorHAnsi" w:cstheme="minorHAnsi"/>
          <w:sz w:val="20"/>
          <w:szCs w:val="20"/>
        </w:rPr>
        <w:t xml:space="preserve">On </w:t>
      </w:r>
      <w:r w:rsidR="00AA5BEE">
        <w:rPr>
          <w:rFonts w:asciiTheme="minorHAnsi" w:hAnsiTheme="minorHAnsi" w:cstheme="minorHAnsi"/>
          <w:sz w:val="20"/>
          <w:szCs w:val="20"/>
        </w:rPr>
        <w:t>24 May</w:t>
      </w:r>
      <w:r w:rsidRPr="00712EE0">
        <w:rPr>
          <w:rFonts w:asciiTheme="minorHAnsi" w:hAnsiTheme="minorHAnsi" w:cstheme="minorHAnsi"/>
          <w:sz w:val="20"/>
          <w:szCs w:val="20"/>
        </w:rPr>
        <w:t xml:space="preserve"> 2021, the Company announced that </w:t>
      </w:r>
      <w:r w:rsidRPr="00712EE0">
        <w:rPr>
          <w:rFonts w:asciiTheme="minorHAnsi" w:hAnsiTheme="minorHAnsi" w:cstheme="minorHAnsi"/>
          <w:color w:val="000000"/>
          <w:sz w:val="20"/>
          <w:szCs w:val="20"/>
        </w:rPr>
        <w:t>all resolutions put to Shareholders at the General Meeting held earlier on that day in connection with the Placing and Open Offer of 23 December 2020 to raise up to </w:t>
      </w:r>
      <w:r w:rsidRPr="00712EE0">
        <w:rPr>
          <w:rFonts w:asciiTheme="minorHAnsi" w:hAnsiTheme="minorHAnsi" w:cstheme="minorHAnsi"/>
          <w:sz w:val="20"/>
          <w:szCs w:val="20"/>
        </w:rPr>
        <w:t>£7.4 million</w:t>
      </w:r>
      <w:r w:rsidRPr="00712EE0">
        <w:rPr>
          <w:rFonts w:asciiTheme="minorHAnsi" w:hAnsiTheme="minorHAnsi" w:cstheme="minorHAnsi"/>
          <w:color w:val="000000"/>
          <w:sz w:val="20"/>
          <w:szCs w:val="20"/>
        </w:rPr>
        <w:t> (before expenses), were duly passed. Further, the Company was pleased to announce that it had raised the maximum amount possible under the Open Offer of </w:t>
      </w:r>
      <w:r w:rsidRPr="00712EE0">
        <w:rPr>
          <w:rFonts w:asciiTheme="minorHAnsi" w:hAnsiTheme="minorHAnsi" w:cstheme="minorHAnsi"/>
          <w:sz w:val="20"/>
          <w:szCs w:val="20"/>
        </w:rPr>
        <w:t>£1.0 million</w:t>
      </w:r>
      <w:r w:rsidRPr="00712EE0">
        <w:rPr>
          <w:rFonts w:asciiTheme="minorHAnsi" w:hAnsiTheme="minorHAnsi" w:cstheme="minorHAnsi"/>
          <w:color w:val="000000"/>
          <w:sz w:val="20"/>
          <w:szCs w:val="20"/>
        </w:rPr>
        <w:t> (before expenses), having received valid applications for 5,173,144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in aggregate, including 4,025,457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applied for under the Excess Application Facility. Accordingly, the Company issued the maximum of 2,239,465 Open </w:t>
      </w:r>
      <w:r w:rsidRPr="00712EE0">
        <w:rPr>
          <w:rFonts w:asciiTheme="minorHAnsi" w:hAnsiTheme="minorHAnsi" w:cstheme="minorHAnsi"/>
          <w:sz w:val="20"/>
          <w:szCs w:val="20"/>
        </w:rPr>
        <w:t>Offer Shares</w:t>
      </w:r>
      <w:r w:rsidRPr="00712EE0">
        <w:rPr>
          <w:rFonts w:asciiTheme="minorHAnsi" w:hAnsiTheme="minorHAnsi" w:cstheme="minorHAnsi"/>
          <w:color w:val="000000"/>
          <w:sz w:val="20"/>
          <w:szCs w:val="20"/>
        </w:rPr>
        <w:t> to be admitted to trading on AIM and undertook a scaling back process, on a pro-rata basis to return oversubscribed amounts to shareholders.</w:t>
      </w:r>
    </w:p>
    <w:p w14:paraId="7A10E80C" w14:textId="77777777" w:rsidR="004A4966" w:rsidRPr="008E6ECA" w:rsidRDefault="004A4966" w:rsidP="004A4966">
      <w:pPr>
        <w:rPr>
          <w:rFonts w:asciiTheme="minorHAnsi" w:hAnsiTheme="minorHAnsi" w:cstheme="minorHAnsi"/>
          <w:sz w:val="20"/>
          <w:szCs w:val="20"/>
          <w:highlight w:val="cyan"/>
        </w:rPr>
      </w:pPr>
    </w:p>
    <w:p w14:paraId="1C69A03C" w14:textId="77777777" w:rsidR="004A4966" w:rsidRPr="008E6ECA" w:rsidRDefault="004A4966" w:rsidP="004A4966">
      <w:pPr>
        <w:rPr>
          <w:rFonts w:asciiTheme="minorHAnsi" w:hAnsiTheme="minorHAnsi" w:cstheme="minorHAnsi"/>
          <w:sz w:val="20"/>
          <w:szCs w:val="20"/>
        </w:rPr>
      </w:pPr>
    </w:p>
    <w:p w14:paraId="1B34E009" w14:textId="2CE4022E" w:rsidR="004A4966" w:rsidRPr="00AF2DE9" w:rsidRDefault="00081BB9" w:rsidP="004A4966">
      <w:pPr>
        <w:rPr>
          <w:rFonts w:asciiTheme="minorHAnsi" w:hAnsiTheme="minorHAnsi" w:cstheme="minorHAnsi"/>
          <w:b/>
          <w:sz w:val="20"/>
          <w:szCs w:val="20"/>
        </w:rPr>
      </w:pPr>
      <w:r>
        <w:rPr>
          <w:rFonts w:asciiTheme="minorHAnsi" w:hAnsiTheme="minorHAnsi" w:cstheme="minorHAnsi"/>
          <w:b/>
          <w:sz w:val="20"/>
          <w:szCs w:val="20"/>
        </w:rPr>
        <w:t>9</w:t>
      </w:r>
      <w:r w:rsidR="004A4966" w:rsidRPr="00AF2DE9">
        <w:rPr>
          <w:rFonts w:asciiTheme="minorHAnsi" w:hAnsiTheme="minorHAnsi" w:cstheme="minorHAnsi"/>
          <w:b/>
          <w:sz w:val="20"/>
          <w:szCs w:val="20"/>
        </w:rPr>
        <w:t>. Seasonal trend analysis</w:t>
      </w:r>
    </w:p>
    <w:p w14:paraId="568382A0" w14:textId="77777777" w:rsidR="004A4966" w:rsidRPr="008E6ECA" w:rsidRDefault="004A4966" w:rsidP="004A4966">
      <w:pPr>
        <w:rPr>
          <w:rFonts w:asciiTheme="minorHAnsi" w:hAnsiTheme="minorHAnsi" w:cstheme="minorHAnsi"/>
          <w:sz w:val="20"/>
          <w:szCs w:val="20"/>
        </w:rPr>
      </w:pPr>
      <w:r>
        <w:rPr>
          <w:rFonts w:asciiTheme="minorHAnsi" w:hAnsiTheme="minorHAnsi" w:cstheme="minorHAnsi"/>
          <w:sz w:val="20"/>
          <w:szCs w:val="20"/>
        </w:rPr>
        <w:t>The Company normally observes a seasonal trend of ferry and cruise repairs being conducted over the winter period in preparation for summer sailings. However, given the effects of the lockdowns as a result of the COVID-19 pandemic, major ferry clients have deferred their winter 2020 works into summer and autumn 2021. Whilst the effects of the lockdown slowly dissipate, we envisage of backlog of cruise and ferry dry dockings being built up, and therefore, an urgency to book dry docking slots in the second half of the 2021 calendar year. Much of these bookings and the quantum of spend will depend on how successful the re-opening of the overall economy is as well as the ability for cruise and ferry operators to win back customers and resume sailings again. There are no particular seasonal variations observed within the other markets.</w:t>
      </w:r>
    </w:p>
    <w:p w14:paraId="0E37074C" w14:textId="77777777" w:rsidR="004A4966" w:rsidRPr="008E6ECA" w:rsidRDefault="004A4966" w:rsidP="004A4966">
      <w:pPr>
        <w:rPr>
          <w:rFonts w:asciiTheme="minorHAnsi" w:hAnsiTheme="minorHAnsi" w:cstheme="minorHAnsi"/>
          <w:sz w:val="20"/>
          <w:szCs w:val="20"/>
        </w:rPr>
      </w:pPr>
    </w:p>
    <w:p w14:paraId="701FB9E9" w14:textId="77777777" w:rsidR="004A4966" w:rsidRPr="008E6ECA" w:rsidRDefault="004A4966" w:rsidP="004A4966">
      <w:pPr>
        <w:rPr>
          <w:rFonts w:asciiTheme="minorHAnsi" w:hAnsiTheme="minorHAnsi" w:cstheme="minorHAnsi"/>
          <w:b/>
          <w:sz w:val="20"/>
          <w:szCs w:val="20"/>
        </w:rPr>
      </w:pPr>
      <w:r w:rsidRPr="008E6ECA">
        <w:rPr>
          <w:rFonts w:asciiTheme="minorHAnsi" w:hAnsiTheme="minorHAnsi" w:cstheme="minorHAnsi"/>
          <w:b/>
          <w:sz w:val="20"/>
          <w:szCs w:val="20"/>
        </w:rPr>
        <w:t>11. Dividend</w:t>
      </w:r>
    </w:p>
    <w:p w14:paraId="0C2C0E8B" w14:textId="7DE9645C" w:rsidR="004A4966" w:rsidRPr="008E6ECA" w:rsidRDefault="004A4966" w:rsidP="004A4966">
      <w:pPr>
        <w:ind w:left="284"/>
        <w:jc w:val="both"/>
        <w:rPr>
          <w:rFonts w:asciiTheme="minorHAnsi" w:hAnsiTheme="minorHAnsi" w:cstheme="minorHAnsi"/>
          <w:sz w:val="20"/>
          <w:szCs w:val="20"/>
        </w:rPr>
      </w:pPr>
      <w:r w:rsidRPr="008E6ECA">
        <w:rPr>
          <w:rFonts w:asciiTheme="minorHAnsi" w:hAnsiTheme="minorHAnsi" w:cstheme="minorHAnsi"/>
          <w:sz w:val="20"/>
          <w:szCs w:val="20"/>
        </w:rPr>
        <w:t xml:space="preserve">The Directors do not recommend payment of a dividend for the </w:t>
      </w:r>
      <w:r w:rsidR="00D656F4">
        <w:rPr>
          <w:rFonts w:asciiTheme="minorHAnsi" w:hAnsiTheme="minorHAnsi" w:cstheme="minorHAnsi"/>
          <w:sz w:val="20"/>
          <w:szCs w:val="20"/>
        </w:rPr>
        <w:t>period</w:t>
      </w:r>
      <w:r w:rsidRPr="008E6ECA">
        <w:rPr>
          <w:rFonts w:asciiTheme="minorHAnsi" w:hAnsiTheme="minorHAnsi" w:cstheme="minorHAnsi"/>
          <w:sz w:val="20"/>
          <w:szCs w:val="20"/>
        </w:rPr>
        <w:t xml:space="preserve"> to 31 </w:t>
      </w:r>
      <w:proofErr w:type="spellStart"/>
      <w:r w:rsidRPr="008E6ECA">
        <w:rPr>
          <w:rFonts w:asciiTheme="minorHAnsi" w:hAnsiTheme="minorHAnsi" w:cstheme="minorHAnsi"/>
          <w:sz w:val="20"/>
          <w:szCs w:val="20"/>
        </w:rPr>
        <w:t>J</w:t>
      </w:r>
      <w:r w:rsidR="00D656F4">
        <w:rPr>
          <w:rFonts w:asciiTheme="minorHAnsi" w:hAnsiTheme="minorHAnsi" w:cstheme="minorHAnsi"/>
          <w:sz w:val="20"/>
          <w:szCs w:val="20"/>
        </w:rPr>
        <w:t>uly</w:t>
      </w:r>
      <w:r w:rsidRPr="008E6ECA">
        <w:rPr>
          <w:rFonts w:asciiTheme="minorHAnsi" w:hAnsiTheme="minorHAnsi" w:cstheme="minorHAnsi"/>
          <w:sz w:val="20"/>
          <w:szCs w:val="20"/>
        </w:rPr>
        <w:t>y</w:t>
      </w:r>
      <w:proofErr w:type="spellEnd"/>
      <w:r w:rsidRPr="008E6ECA">
        <w:rPr>
          <w:rFonts w:asciiTheme="minorHAnsi" w:hAnsiTheme="minorHAnsi" w:cstheme="minorHAnsi"/>
          <w:sz w:val="20"/>
          <w:szCs w:val="20"/>
        </w:rPr>
        <w:t xml:space="preserve"> 2021.</w:t>
      </w:r>
    </w:p>
    <w:p w14:paraId="11369762" w14:textId="77777777" w:rsidR="004A4966" w:rsidRPr="008E6ECA" w:rsidRDefault="004A4966" w:rsidP="004A4966">
      <w:pPr>
        <w:pStyle w:val="BodyText"/>
        <w:spacing w:before="10"/>
        <w:rPr>
          <w:rFonts w:asciiTheme="minorHAnsi" w:hAnsiTheme="minorHAnsi" w:cstheme="minorHAnsi"/>
          <w:sz w:val="20"/>
          <w:szCs w:val="20"/>
        </w:rPr>
      </w:pPr>
    </w:p>
    <w:p w14:paraId="765A3682" w14:textId="77777777" w:rsidR="004A4966" w:rsidRPr="008E6ECA" w:rsidRDefault="004A4966" w:rsidP="004A4966">
      <w:pPr>
        <w:rPr>
          <w:rFonts w:asciiTheme="minorHAnsi" w:hAnsiTheme="minorHAnsi" w:cstheme="minorHAnsi"/>
          <w:sz w:val="20"/>
          <w:szCs w:val="20"/>
        </w:rPr>
      </w:pPr>
    </w:p>
    <w:p w14:paraId="7DEA03FF" w14:textId="77777777" w:rsidR="004A4966" w:rsidRPr="008E6ECA" w:rsidRDefault="004A4966" w:rsidP="004A4966">
      <w:pPr>
        <w:rPr>
          <w:rFonts w:asciiTheme="minorHAnsi" w:hAnsiTheme="minorHAnsi" w:cstheme="minorHAnsi"/>
          <w:b/>
          <w:sz w:val="20"/>
          <w:szCs w:val="20"/>
        </w:rPr>
      </w:pPr>
      <w:r w:rsidRPr="008E6ECA">
        <w:rPr>
          <w:rFonts w:asciiTheme="minorHAnsi" w:hAnsiTheme="minorHAnsi" w:cstheme="minorHAnsi"/>
          <w:b/>
          <w:sz w:val="20"/>
          <w:szCs w:val="20"/>
        </w:rPr>
        <w:t>12. Publication of the interim report</w:t>
      </w:r>
    </w:p>
    <w:p w14:paraId="15A847B3" w14:textId="77777777" w:rsidR="004A4966" w:rsidRPr="008E6ECA" w:rsidRDefault="004A4966" w:rsidP="004A4966">
      <w:pPr>
        <w:spacing w:before="1"/>
        <w:ind w:left="284"/>
        <w:jc w:val="both"/>
        <w:rPr>
          <w:rFonts w:asciiTheme="minorHAnsi" w:hAnsiTheme="minorHAnsi" w:cstheme="minorHAnsi"/>
          <w:sz w:val="20"/>
          <w:szCs w:val="20"/>
        </w:rPr>
      </w:pPr>
      <w:r w:rsidRPr="008E6ECA">
        <w:rPr>
          <w:rFonts w:asciiTheme="minorHAnsi" w:hAnsiTheme="minorHAnsi" w:cstheme="minorHAnsi"/>
          <w:sz w:val="20"/>
          <w:szCs w:val="20"/>
        </w:rPr>
        <w:t>This interim report is available on the Company’s website https://</w:t>
      </w:r>
      <w:hyperlink r:id="rId15">
        <w:r w:rsidRPr="008E6ECA">
          <w:rPr>
            <w:rFonts w:asciiTheme="minorHAnsi" w:hAnsiTheme="minorHAnsi" w:cstheme="minorHAnsi"/>
            <w:sz w:val="20"/>
            <w:szCs w:val="20"/>
          </w:rPr>
          <w:t>www.infrastrataplc.com</w:t>
        </w:r>
      </w:hyperlink>
    </w:p>
    <w:p w14:paraId="77E4AFCB" w14:textId="77777777" w:rsidR="000C69C7" w:rsidRPr="008E6ECA" w:rsidRDefault="000C69C7" w:rsidP="000C69C7">
      <w:pPr>
        <w:rPr>
          <w:rFonts w:asciiTheme="minorHAnsi" w:hAnsiTheme="minorHAnsi" w:cstheme="minorHAnsi"/>
          <w:sz w:val="20"/>
          <w:szCs w:val="20"/>
        </w:rPr>
      </w:pPr>
    </w:p>
    <w:p w14:paraId="1C6175F3" w14:textId="77777777" w:rsidR="000C69C7" w:rsidRPr="00DB2968" w:rsidRDefault="000C69C7" w:rsidP="0089653F">
      <w:pPr>
        <w:tabs>
          <w:tab w:val="left" w:pos="989"/>
        </w:tabs>
        <w:rPr>
          <w:rFonts w:asciiTheme="minorHAnsi" w:hAnsiTheme="minorHAnsi" w:cstheme="minorHAnsi"/>
          <w:sz w:val="20"/>
          <w:szCs w:val="20"/>
        </w:rPr>
      </w:pPr>
    </w:p>
    <w:sectPr w:rsidR="000C69C7" w:rsidRPr="00DB2968" w:rsidSect="00DB2968">
      <w:pgSz w:w="11910" w:h="16840"/>
      <w:pgMar w:top="1440" w:right="1077" w:bottom="1440" w:left="1077" w:header="0" w:footer="5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834C" w14:textId="77777777" w:rsidR="00983F6D" w:rsidRDefault="00983F6D">
      <w:r>
        <w:separator/>
      </w:r>
    </w:p>
  </w:endnote>
  <w:endnote w:type="continuationSeparator" w:id="0">
    <w:p w14:paraId="059AA6B8" w14:textId="77777777" w:rsidR="00983F6D" w:rsidRDefault="0098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34E" w14:textId="0268E0C1" w:rsidR="007600FC" w:rsidRDefault="007600F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D16219C" wp14:editId="2ABBD1B5">
              <wp:simplePos x="0" y="0"/>
              <wp:positionH relativeFrom="page">
                <wp:posOffset>1130300</wp:posOffset>
              </wp:positionH>
              <wp:positionV relativeFrom="page">
                <wp:posOffset>10209530</wp:posOffset>
              </wp:positionV>
              <wp:extent cx="1818640" cy="124460"/>
              <wp:effectExtent l="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D5BD" w14:textId="1AEE6A35" w:rsidR="007600FC" w:rsidRDefault="007600FC">
                          <w:pPr>
                            <w:spacing w:before="14"/>
                            <w:ind w:left="20"/>
                            <w:rPr>
                              <w:rFonts w:ascii="Arial"/>
                              <w:sz w:val="14"/>
                            </w:rPr>
                          </w:pPr>
                          <w:proofErr w:type="spellStart"/>
                          <w:r>
                            <w:rPr>
                              <w:rFonts w:ascii="Arial"/>
                              <w:sz w:val="14"/>
                            </w:rPr>
                            <w:t>InfraStrata</w:t>
                          </w:r>
                          <w:proofErr w:type="spellEnd"/>
                          <w:r>
                            <w:rPr>
                              <w:rFonts w:ascii="Arial"/>
                              <w:sz w:val="14"/>
                            </w:rPr>
                            <w:t xml:space="preserve"> plc Interim report 31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6219C" id="_x0000_t202" coordsize="21600,21600" o:spt="202" path="m,l,21600r21600,l21600,xe">
              <v:stroke joinstyle="miter"/>
              <v:path gradientshapeok="t" o:connecttype="rect"/>
            </v:shapetype>
            <v:shape id="Text Box 1" o:spid="_x0000_s1026" type="#_x0000_t202" style="position:absolute;margin-left:89pt;margin-top:803.9pt;width:143.2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" filled="f" stroked="f">
              <v:textbox inset="0,0,0,0">
                <w:txbxContent>
                  <w:p w14:paraId="3FCCD5BD" w14:textId="1AEE6A35" w:rsidR="007600FC" w:rsidRDefault="007600FC">
                    <w:pPr>
                      <w:spacing w:before="14"/>
                      <w:ind w:left="20"/>
                      <w:rPr>
                        <w:rFonts w:ascii="Arial"/>
                        <w:sz w:val="14"/>
                      </w:rPr>
                    </w:pPr>
                    <w:r>
                      <w:rPr>
                        <w:rFonts w:ascii="Arial"/>
                        <w:sz w:val="14"/>
                      </w:rPr>
                      <w:t>InfraStrata plc Interim report 31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36C9" w14:textId="77777777" w:rsidR="00983F6D" w:rsidRDefault="00983F6D">
      <w:r>
        <w:separator/>
      </w:r>
    </w:p>
  </w:footnote>
  <w:footnote w:type="continuationSeparator" w:id="0">
    <w:p w14:paraId="47CC8CF8" w14:textId="77777777" w:rsidR="00983F6D" w:rsidRDefault="0098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E084" w14:textId="77777777" w:rsidR="007600FC" w:rsidRDefault="007600FC" w:rsidP="00327A31">
    <w:pPr>
      <w:pStyle w:val="Header"/>
      <w:tabs>
        <w:tab w:val="clear" w:pos="4513"/>
        <w:tab w:val="clear" w:pos="9026"/>
        <w:tab w:val="left" w:pos="47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054"/>
    <w:multiLevelType w:val="hybridMultilevel"/>
    <w:tmpl w:val="D88C2DBE"/>
    <w:lvl w:ilvl="0" w:tplc="5E1CD444">
      <w:numFmt w:val="bullet"/>
      <w:lvlText w:val=""/>
      <w:lvlJc w:val="left"/>
      <w:pPr>
        <w:ind w:left="1780" w:hanging="360"/>
      </w:pPr>
      <w:rPr>
        <w:rFonts w:ascii="Symbol" w:eastAsia="Symbol" w:hAnsi="Symbol" w:cs="Symbol" w:hint="default"/>
        <w:w w:val="99"/>
        <w:sz w:val="20"/>
        <w:szCs w:val="20"/>
        <w:lang w:val="en-GB" w:eastAsia="en-GB" w:bidi="en-GB"/>
      </w:rPr>
    </w:lvl>
    <w:lvl w:ilvl="1" w:tplc="DCA2C7B4">
      <w:numFmt w:val="bullet"/>
      <w:lvlText w:val="•"/>
      <w:lvlJc w:val="left"/>
      <w:pPr>
        <w:ind w:left="2710" w:hanging="360"/>
      </w:pPr>
      <w:rPr>
        <w:rFonts w:hint="default"/>
        <w:lang w:val="en-GB" w:eastAsia="en-GB" w:bidi="en-GB"/>
      </w:rPr>
    </w:lvl>
    <w:lvl w:ilvl="2" w:tplc="D8D05F90">
      <w:numFmt w:val="bullet"/>
      <w:lvlText w:val="•"/>
      <w:lvlJc w:val="left"/>
      <w:pPr>
        <w:ind w:left="3641" w:hanging="360"/>
      </w:pPr>
      <w:rPr>
        <w:rFonts w:hint="default"/>
        <w:lang w:val="en-GB" w:eastAsia="en-GB" w:bidi="en-GB"/>
      </w:rPr>
    </w:lvl>
    <w:lvl w:ilvl="3" w:tplc="7FFC7DDA">
      <w:numFmt w:val="bullet"/>
      <w:lvlText w:val="•"/>
      <w:lvlJc w:val="left"/>
      <w:pPr>
        <w:ind w:left="4571" w:hanging="360"/>
      </w:pPr>
      <w:rPr>
        <w:rFonts w:hint="default"/>
        <w:lang w:val="en-GB" w:eastAsia="en-GB" w:bidi="en-GB"/>
      </w:rPr>
    </w:lvl>
    <w:lvl w:ilvl="4" w:tplc="75246450">
      <w:numFmt w:val="bullet"/>
      <w:lvlText w:val="•"/>
      <w:lvlJc w:val="left"/>
      <w:pPr>
        <w:ind w:left="5502" w:hanging="360"/>
      </w:pPr>
      <w:rPr>
        <w:rFonts w:hint="default"/>
        <w:lang w:val="en-GB" w:eastAsia="en-GB" w:bidi="en-GB"/>
      </w:rPr>
    </w:lvl>
    <w:lvl w:ilvl="5" w:tplc="CAD004F8">
      <w:numFmt w:val="bullet"/>
      <w:lvlText w:val="•"/>
      <w:lvlJc w:val="left"/>
      <w:pPr>
        <w:ind w:left="6433" w:hanging="360"/>
      </w:pPr>
      <w:rPr>
        <w:rFonts w:hint="default"/>
        <w:lang w:val="en-GB" w:eastAsia="en-GB" w:bidi="en-GB"/>
      </w:rPr>
    </w:lvl>
    <w:lvl w:ilvl="6" w:tplc="0DC21C48">
      <w:numFmt w:val="bullet"/>
      <w:lvlText w:val="•"/>
      <w:lvlJc w:val="left"/>
      <w:pPr>
        <w:ind w:left="7363" w:hanging="360"/>
      </w:pPr>
      <w:rPr>
        <w:rFonts w:hint="default"/>
        <w:lang w:val="en-GB" w:eastAsia="en-GB" w:bidi="en-GB"/>
      </w:rPr>
    </w:lvl>
    <w:lvl w:ilvl="7" w:tplc="5C7C60A2">
      <w:numFmt w:val="bullet"/>
      <w:lvlText w:val="•"/>
      <w:lvlJc w:val="left"/>
      <w:pPr>
        <w:ind w:left="8294" w:hanging="360"/>
      </w:pPr>
      <w:rPr>
        <w:rFonts w:hint="default"/>
        <w:lang w:val="en-GB" w:eastAsia="en-GB" w:bidi="en-GB"/>
      </w:rPr>
    </w:lvl>
    <w:lvl w:ilvl="8" w:tplc="A02A0180">
      <w:numFmt w:val="bullet"/>
      <w:lvlText w:val="•"/>
      <w:lvlJc w:val="left"/>
      <w:pPr>
        <w:ind w:left="9225" w:hanging="360"/>
      </w:pPr>
      <w:rPr>
        <w:rFonts w:hint="default"/>
        <w:lang w:val="en-GB" w:eastAsia="en-GB" w:bidi="en-GB"/>
      </w:rPr>
    </w:lvl>
  </w:abstractNum>
  <w:abstractNum w:abstractNumId="1" w15:restartNumberingAfterBreak="0">
    <w:nsid w:val="124A42D0"/>
    <w:multiLevelType w:val="hybridMultilevel"/>
    <w:tmpl w:val="B95C6E52"/>
    <w:lvl w:ilvl="0" w:tplc="892C03DE">
      <w:start w:val="5"/>
      <w:numFmt w:val="decimal"/>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 w15:restartNumberingAfterBreak="0">
    <w:nsid w:val="1ECF2979"/>
    <w:multiLevelType w:val="hybridMultilevel"/>
    <w:tmpl w:val="97F0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10CE1"/>
    <w:multiLevelType w:val="hybridMultilevel"/>
    <w:tmpl w:val="B0A43346"/>
    <w:lvl w:ilvl="0" w:tplc="71CAC062">
      <w:start w:val="1"/>
      <w:numFmt w:val="decimal"/>
      <w:lvlText w:val="%1."/>
      <w:lvlJc w:val="left"/>
      <w:pPr>
        <w:ind w:left="1300" w:hanging="480"/>
      </w:pPr>
      <w:rPr>
        <w:rFonts w:ascii="Arial" w:eastAsia="Arial" w:hAnsi="Arial" w:cs="Arial" w:hint="default"/>
        <w:b/>
        <w:bCs/>
        <w:spacing w:val="-1"/>
        <w:w w:val="99"/>
        <w:sz w:val="20"/>
        <w:szCs w:val="20"/>
        <w:lang w:val="en-GB" w:eastAsia="en-GB" w:bidi="en-GB"/>
      </w:rPr>
    </w:lvl>
    <w:lvl w:ilvl="1" w:tplc="E06C28B6">
      <w:numFmt w:val="bullet"/>
      <w:lvlText w:val="•"/>
      <w:lvlJc w:val="left"/>
      <w:pPr>
        <w:ind w:left="2278" w:hanging="480"/>
      </w:pPr>
      <w:rPr>
        <w:rFonts w:hint="default"/>
        <w:lang w:val="en-GB" w:eastAsia="en-GB" w:bidi="en-GB"/>
      </w:rPr>
    </w:lvl>
    <w:lvl w:ilvl="2" w:tplc="4AEA5816">
      <w:numFmt w:val="bullet"/>
      <w:lvlText w:val="•"/>
      <w:lvlJc w:val="left"/>
      <w:pPr>
        <w:ind w:left="3257" w:hanging="480"/>
      </w:pPr>
      <w:rPr>
        <w:rFonts w:hint="default"/>
        <w:lang w:val="en-GB" w:eastAsia="en-GB" w:bidi="en-GB"/>
      </w:rPr>
    </w:lvl>
    <w:lvl w:ilvl="3" w:tplc="B58084D8">
      <w:numFmt w:val="bullet"/>
      <w:lvlText w:val="•"/>
      <w:lvlJc w:val="left"/>
      <w:pPr>
        <w:ind w:left="4235" w:hanging="480"/>
      </w:pPr>
      <w:rPr>
        <w:rFonts w:hint="default"/>
        <w:lang w:val="en-GB" w:eastAsia="en-GB" w:bidi="en-GB"/>
      </w:rPr>
    </w:lvl>
    <w:lvl w:ilvl="4" w:tplc="FBC8D3AE">
      <w:numFmt w:val="bullet"/>
      <w:lvlText w:val="•"/>
      <w:lvlJc w:val="left"/>
      <w:pPr>
        <w:ind w:left="5214" w:hanging="480"/>
      </w:pPr>
      <w:rPr>
        <w:rFonts w:hint="default"/>
        <w:lang w:val="en-GB" w:eastAsia="en-GB" w:bidi="en-GB"/>
      </w:rPr>
    </w:lvl>
    <w:lvl w:ilvl="5" w:tplc="39BE96F6">
      <w:numFmt w:val="bullet"/>
      <w:lvlText w:val="•"/>
      <w:lvlJc w:val="left"/>
      <w:pPr>
        <w:ind w:left="6193" w:hanging="480"/>
      </w:pPr>
      <w:rPr>
        <w:rFonts w:hint="default"/>
        <w:lang w:val="en-GB" w:eastAsia="en-GB" w:bidi="en-GB"/>
      </w:rPr>
    </w:lvl>
    <w:lvl w:ilvl="6" w:tplc="D1D806EA">
      <w:numFmt w:val="bullet"/>
      <w:lvlText w:val="•"/>
      <w:lvlJc w:val="left"/>
      <w:pPr>
        <w:ind w:left="7171" w:hanging="480"/>
      </w:pPr>
      <w:rPr>
        <w:rFonts w:hint="default"/>
        <w:lang w:val="en-GB" w:eastAsia="en-GB" w:bidi="en-GB"/>
      </w:rPr>
    </w:lvl>
    <w:lvl w:ilvl="7" w:tplc="8184480A">
      <w:numFmt w:val="bullet"/>
      <w:lvlText w:val="•"/>
      <w:lvlJc w:val="left"/>
      <w:pPr>
        <w:ind w:left="8150" w:hanging="480"/>
      </w:pPr>
      <w:rPr>
        <w:rFonts w:hint="default"/>
        <w:lang w:val="en-GB" w:eastAsia="en-GB" w:bidi="en-GB"/>
      </w:rPr>
    </w:lvl>
    <w:lvl w:ilvl="8" w:tplc="199E3280">
      <w:numFmt w:val="bullet"/>
      <w:lvlText w:val="•"/>
      <w:lvlJc w:val="left"/>
      <w:pPr>
        <w:ind w:left="9129" w:hanging="480"/>
      </w:pPr>
      <w:rPr>
        <w:rFonts w:hint="default"/>
        <w:lang w:val="en-GB" w:eastAsia="en-GB" w:bidi="en-GB"/>
      </w:rPr>
    </w:lvl>
  </w:abstractNum>
  <w:abstractNum w:abstractNumId="4" w15:restartNumberingAfterBreak="0">
    <w:nsid w:val="2C2E2CE2"/>
    <w:multiLevelType w:val="hybridMultilevel"/>
    <w:tmpl w:val="E12C1338"/>
    <w:lvl w:ilvl="0" w:tplc="93222D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67716"/>
    <w:multiLevelType w:val="hybridMultilevel"/>
    <w:tmpl w:val="F300EB88"/>
    <w:lvl w:ilvl="0" w:tplc="5CA8F6A0">
      <w:numFmt w:val="bullet"/>
      <w:lvlText w:val="·"/>
      <w:lvlJc w:val="left"/>
      <w:pPr>
        <w:ind w:left="720" w:hanging="360"/>
      </w:pPr>
      <w:rPr>
        <w:rFonts w:ascii="Times New Roman" w:eastAsia="Calibr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87580"/>
    <w:multiLevelType w:val="hybridMultilevel"/>
    <w:tmpl w:val="4E184BF2"/>
    <w:lvl w:ilvl="0" w:tplc="306E50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D61B4"/>
    <w:multiLevelType w:val="hybridMultilevel"/>
    <w:tmpl w:val="E092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B3D56"/>
    <w:multiLevelType w:val="hybridMultilevel"/>
    <w:tmpl w:val="8034EA24"/>
    <w:lvl w:ilvl="0" w:tplc="5CA8F6A0">
      <w:numFmt w:val="bullet"/>
      <w:lvlText w:val="·"/>
      <w:lvlJc w:val="left"/>
      <w:pPr>
        <w:ind w:left="720" w:hanging="360"/>
      </w:pPr>
      <w:rPr>
        <w:rFonts w:ascii="Times New Roman" w:eastAsia="Calibr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80E4D"/>
    <w:multiLevelType w:val="hybridMultilevel"/>
    <w:tmpl w:val="9986572A"/>
    <w:lvl w:ilvl="0" w:tplc="5CA8F6A0">
      <w:numFmt w:val="bullet"/>
      <w:lvlText w:val="·"/>
      <w:lvlJc w:val="left"/>
      <w:pPr>
        <w:ind w:left="720" w:hanging="360"/>
      </w:pPr>
      <w:rPr>
        <w:rFonts w:ascii="Times New Roman" w:eastAsia="Calibr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81F00"/>
    <w:multiLevelType w:val="hybridMultilevel"/>
    <w:tmpl w:val="16ECABF4"/>
    <w:lvl w:ilvl="0" w:tplc="1D92B15E">
      <w:start w:val="1"/>
      <w:numFmt w:val="decimal"/>
      <w:lvlText w:val="%1."/>
      <w:lvlJc w:val="left"/>
      <w:pPr>
        <w:ind w:left="1300" w:hanging="480"/>
      </w:pPr>
      <w:rPr>
        <w:rFonts w:ascii="Arial" w:eastAsia="Arial" w:hAnsi="Arial" w:cs="Arial" w:hint="default"/>
        <w:b/>
        <w:bCs/>
        <w:spacing w:val="-1"/>
        <w:w w:val="99"/>
        <w:sz w:val="20"/>
        <w:szCs w:val="20"/>
        <w:lang w:val="en-GB" w:eastAsia="en-GB" w:bidi="en-GB"/>
      </w:rPr>
    </w:lvl>
    <w:lvl w:ilvl="1" w:tplc="00809248">
      <w:numFmt w:val="bullet"/>
      <w:lvlText w:val="•"/>
      <w:lvlJc w:val="left"/>
      <w:pPr>
        <w:ind w:left="2278" w:hanging="480"/>
      </w:pPr>
      <w:rPr>
        <w:rFonts w:hint="default"/>
        <w:lang w:val="en-GB" w:eastAsia="en-GB" w:bidi="en-GB"/>
      </w:rPr>
    </w:lvl>
    <w:lvl w:ilvl="2" w:tplc="5D32B512">
      <w:numFmt w:val="bullet"/>
      <w:lvlText w:val="•"/>
      <w:lvlJc w:val="left"/>
      <w:pPr>
        <w:ind w:left="3257" w:hanging="480"/>
      </w:pPr>
      <w:rPr>
        <w:rFonts w:hint="default"/>
        <w:lang w:val="en-GB" w:eastAsia="en-GB" w:bidi="en-GB"/>
      </w:rPr>
    </w:lvl>
    <w:lvl w:ilvl="3" w:tplc="09567566">
      <w:numFmt w:val="bullet"/>
      <w:lvlText w:val="•"/>
      <w:lvlJc w:val="left"/>
      <w:pPr>
        <w:ind w:left="4235" w:hanging="480"/>
      </w:pPr>
      <w:rPr>
        <w:rFonts w:hint="default"/>
        <w:lang w:val="en-GB" w:eastAsia="en-GB" w:bidi="en-GB"/>
      </w:rPr>
    </w:lvl>
    <w:lvl w:ilvl="4" w:tplc="56A8D170">
      <w:numFmt w:val="bullet"/>
      <w:lvlText w:val="•"/>
      <w:lvlJc w:val="left"/>
      <w:pPr>
        <w:ind w:left="5214" w:hanging="480"/>
      </w:pPr>
      <w:rPr>
        <w:rFonts w:hint="default"/>
        <w:lang w:val="en-GB" w:eastAsia="en-GB" w:bidi="en-GB"/>
      </w:rPr>
    </w:lvl>
    <w:lvl w:ilvl="5" w:tplc="7656341C">
      <w:numFmt w:val="bullet"/>
      <w:lvlText w:val="•"/>
      <w:lvlJc w:val="left"/>
      <w:pPr>
        <w:ind w:left="6193" w:hanging="480"/>
      </w:pPr>
      <w:rPr>
        <w:rFonts w:hint="default"/>
        <w:lang w:val="en-GB" w:eastAsia="en-GB" w:bidi="en-GB"/>
      </w:rPr>
    </w:lvl>
    <w:lvl w:ilvl="6" w:tplc="8194B3B6">
      <w:numFmt w:val="bullet"/>
      <w:lvlText w:val="•"/>
      <w:lvlJc w:val="left"/>
      <w:pPr>
        <w:ind w:left="7171" w:hanging="480"/>
      </w:pPr>
      <w:rPr>
        <w:rFonts w:hint="default"/>
        <w:lang w:val="en-GB" w:eastAsia="en-GB" w:bidi="en-GB"/>
      </w:rPr>
    </w:lvl>
    <w:lvl w:ilvl="7" w:tplc="FB243644">
      <w:numFmt w:val="bullet"/>
      <w:lvlText w:val="•"/>
      <w:lvlJc w:val="left"/>
      <w:pPr>
        <w:ind w:left="8150" w:hanging="480"/>
      </w:pPr>
      <w:rPr>
        <w:rFonts w:hint="default"/>
        <w:lang w:val="en-GB" w:eastAsia="en-GB" w:bidi="en-GB"/>
      </w:rPr>
    </w:lvl>
    <w:lvl w:ilvl="8" w:tplc="4A181350">
      <w:numFmt w:val="bullet"/>
      <w:lvlText w:val="•"/>
      <w:lvlJc w:val="left"/>
      <w:pPr>
        <w:ind w:left="9129" w:hanging="480"/>
      </w:pPr>
      <w:rPr>
        <w:rFonts w:hint="default"/>
        <w:lang w:val="en-GB" w:eastAsia="en-GB" w:bidi="en-GB"/>
      </w:rPr>
    </w:lvl>
  </w:abstractNum>
  <w:abstractNum w:abstractNumId="11" w15:restartNumberingAfterBreak="0">
    <w:nsid w:val="5F04634D"/>
    <w:multiLevelType w:val="hybridMultilevel"/>
    <w:tmpl w:val="A0A0BF24"/>
    <w:lvl w:ilvl="0" w:tplc="DA62A24A">
      <w:start w:val="4"/>
      <w:numFmt w:val="decimal"/>
      <w:lvlText w:val="%1."/>
      <w:lvlJc w:val="left"/>
      <w:pPr>
        <w:ind w:left="1344" w:hanging="524"/>
      </w:pPr>
      <w:rPr>
        <w:rFonts w:ascii="Arial" w:eastAsia="Arial" w:hAnsi="Arial" w:cs="Arial" w:hint="default"/>
        <w:b/>
        <w:bCs/>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C725E"/>
    <w:multiLevelType w:val="hybridMultilevel"/>
    <w:tmpl w:val="7E6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F22D9"/>
    <w:multiLevelType w:val="hybridMultilevel"/>
    <w:tmpl w:val="0AAEF4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850D4E"/>
    <w:multiLevelType w:val="hybridMultilevel"/>
    <w:tmpl w:val="2200C67C"/>
    <w:lvl w:ilvl="0" w:tplc="24983158">
      <w:start w:val="5"/>
      <w:numFmt w:val="decimal"/>
      <w:lvlText w:val="%1."/>
      <w:lvlJc w:val="left"/>
      <w:pPr>
        <w:ind w:left="1300" w:hanging="524"/>
      </w:pPr>
      <w:rPr>
        <w:rFonts w:ascii="Arial" w:eastAsia="Arial" w:hAnsi="Arial" w:cs="Arial" w:hint="default"/>
        <w:b/>
        <w:bCs/>
        <w:spacing w:val="-1"/>
        <w:w w:val="99"/>
        <w:sz w:val="20"/>
        <w:szCs w:val="20"/>
        <w:lang w:val="en-GB" w:eastAsia="en-GB" w:bidi="en-GB"/>
      </w:rPr>
    </w:lvl>
    <w:lvl w:ilvl="1" w:tplc="48765226">
      <w:numFmt w:val="bullet"/>
      <w:lvlText w:val="•"/>
      <w:lvlJc w:val="left"/>
      <w:pPr>
        <w:ind w:left="2278" w:hanging="524"/>
      </w:pPr>
      <w:rPr>
        <w:rFonts w:hint="default"/>
        <w:lang w:val="en-GB" w:eastAsia="en-GB" w:bidi="en-GB"/>
      </w:rPr>
    </w:lvl>
    <w:lvl w:ilvl="2" w:tplc="0108EDD8">
      <w:numFmt w:val="bullet"/>
      <w:lvlText w:val="•"/>
      <w:lvlJc w:val="left"/>
      <w:pPr>
        <w:ind w:left="3257" w:hanging="524"/>
      </w:pPr>
      <w:rPr>
        <w:rFonts w:hint="default"/>
        <w:lang w:val="en-GB" w:eastAsia="en-GB" w:bidi="en-GB"/>
      </w:rPr>
    </w:lvl>
    <w:lvl w:ilvl="3" w:tplc="14125948">
      <w:numFmt w:val="bullet"/>
      <w:lvlText w:val="•"/>
      <w:lvlJc w:val="left"/>
      <w:pPr>
        <w:ind w:left="4235" w:hanging="524"/>
      </w:pPr>
      <w:rPr>
        <w:rFonts w:hint="default"/>
        <w:lang w:val="en-GB" w:eastAsia="en-GB" w:bidi="en-GB"/>
      </w:rPr>
    </w:lvl>
    <w:lvl w:ilvl="4" w:tplc="961C4B48">
      <w:numFmt w:val="bullet"/>
      <w:lvlText w:val="•"/>
      <w:lvlJc w:val="left"/>
      <w:pPr>
        <w:ind w:left="5214" w:hanging="524"/>
      </w:pPr>
      <w:rPr>
        <w:rFonts w:hint="default"/>
        <w:lang w:val="en-GB" w:eastAsia="en-GB" w:bidi="en-GB"/>
      </w:rPr>
    </w:lvl>
    <w:lvl w:ilvl="5" w:tplc="8A52DDC8">
      <w:numFmt w:val="bullet"/>
      <w:lvlText w:val="•"/>
      <w:lvlJc w:val="left"/>
      <w:pPr>
        <w:ind w:left="6193" w:hanging="524"/>
      </w:pPr>
      <w:rPr>
        <w:rFonts w:hint="default"/>
        <w:lang w:val="en-GB" w:eastAsia="en-GB" w:bidi="en-GB"/>
      </w:rPr>
    </w:lvl>
    <w:lvl w:ilvl="6" w:tplc="002006B8">
      <w:numFmt w:val="bullet"/>
      <w:lvlText w:val="•"/>
      <w:lvlJc w:val="left"/>
      <w:pPr>
        <w:ind w:left="7171" w:hanging="524"/>
      </w:pPr>
      <w:rPr>
        <w:rFonts w:hint="default"/>
        <w:lang w:val="en-GB" w:eastAsia="en-GB" w:bidi="en-GB"/>
      </w:rPr>
    </w:lvl>
    <w:lvl w:ilvl="7" w:tplc="3A4A93AC">
      <w:numFmt w:val="bullet"/>
      <w:lvlText w:val="•"/>
      <w:lvlJc w:val="left"/>
      <w:pPr>
        <w:ind w:left="8150" w:hanging="524"/>
      </w:pPr>
      <w:rPr>
        <w:rFonts w:hint="default"/>
        <w:lang w:val="en-GB" w:eastAsia="en-GB" w:bidi="en-GB"/>
      </w:rPr>
    </w:lvl>
    <w:lvl w:ilvl="8" w:tplc="D8ACC7D4">
      <w:numFmt w:val="bullet"/>
      <w:lvlText w:val="•"/>
      <w:lvlJc w:val="left"/>
      <w:pPr>
        <w:ind w:left="9129" w:hanging="524"/>
      </w:pPr>
      <w:rPr>
        <w:rFonts w:hint="default"/>
        <w:lang w:val="en-GB" w:eastAsia="en-GB" w:bidi="en-GB"/>
      </w:rPr>
    </w:lvl>
  </w:abstractNum>
  <w:num w:numId="1">
    <w:abstractNumId w:val="0"/>
  </w:num>
  <w:num w:numId="2">
    <w:abstractNumId w:val="14"/>
  </w:num>
  <w:num w:numId="3">
    <w:abstractNumId w:val="10"/>
  </w:num>
  <w:num w:numId="4">
    <w:abstractNumId w:val="11"/>
  </w:num>
  <w:num w:numId="5">
    <w:abstractNumId w:val="3"/>
  </w:num>
  <w:num w:numId="6">
    <w:abstractNumId w:val="13"/>
  </w:num>
  <w:num w:numId="7">
    <w:abstractNumId w:val="6"/>
  </w:num>
  <w:num w:numId="8">
    <w:abstractNumId w:val="4"/>
  </w:num>
  <w:num w:numId="9">
    <w:abstractNumId w:val="1"/>
  </w:num>
  <w:num w:numId="10">
    <w:abstractNumId w:val="2"/>
  </w:num>
  <w:num w:numId="11">
    <w:abstractNumId w:val="5"/>
  </w:num>
  <w:num w:numId="12">
    <w:abstractNumId w:val="8"/>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8B"/>
    <w:rsid w:val="00000C78"/>
    <w:rsid w:val="00003D48"/>
    <w:rsid w:val="000048E4"/>
    <w:rsid w:val="00004CEF"/>
    <w:rsid w:val="0000744E"/>
    <w:rsid w:val="00010EE9"/>
    <w:rsid w:val="000138FF"/>
    <w:rsid w:val="00021E0A"/>
    <w:rsid w:val="00021EBA"/>
    <w:rsid w:val="000274A8"/>
    <w:rsid w:val="00030049"/>
    <w:rsid w:val="00031B18"/>
    <w:rsid w:val="00032D42"/>
    <w:rsid w:val="000342CD"/>
    <w:rsid w:val="00034EAC"/>
    <w:rsid w:val="000361AA"/>
    <w:rsid w:val="000366AD"/>
    <w:rsid w:val="00036EC2"/>
    <w:rsid w:val="00037100"/>
    <w:rsid w:val="00037907"/>
    <w:rsid w:val="00037962"/>
    <w:rsid w:val="00040678"/>
    <w:rsid w:val="00047328"/>
    <w:rsid w:val="00051799"/>
    <w:rsid w:val="00053684"/>
    <w:rsid w:val="00056A3B"/>
    <w:rsid w:val="00061369"/>
    <w:rsid w:val="000618AC"/>
    <w:rsid w:val="0006391B"/>
    <w:rsid w:val="00064050"/>
    <w:rsid w:val="00064E92"/>
    <w:rsid w:val="000671DF"/>
    <w:rsid w:val="00071AFE"/>
    <w:rsid w:val="000744C2"/>
    <w:rsid w:val="00077323"/>
    <w:rsid w:val="00077A5F"/>
    <w:rsid w:val="00080357"/>
    <w:rsid w:val="00081BB9"/>
    <w:rsid w:val="00082AE8"/>
    <w:rsid w:val="00083D54"/>
    <w:rsid w:val="00084852"/>
    <w:rsid w:val="00085C0F"/>
    <w:rsid w:val="000907B7"/>
    <w:rsid w:val="00091493"/>
    <w:rsid w:val="00094811"/>
    <w:rsid w:val="00097C4F"/>
    <w:rsid w:val="000A2E52"/>
    <w:rsid w:val="000A3A3C"/>
    <w:rsid w:val="000A6C16"/>
    <w:rsid w:val="000A7080"/>
    <w:rsid w:val="000B091E"/>
    <w:rsid w:val="000B17EE"/>
    <w:rsid w:val="000B23E4"/>
    <w:rsid w:val="000B2785"/>
    <w:rsid w:val="000B27EF"/>
    <w:rsid w:val="000B7DDE"/>
    <w:rsid w:val="000C0B01"/>
    <w:rsid w:val="000C246E"/>
    <w:rsid w:val="000C2956"/>
    <w:rsid w:val="000C2F2A"/>
    <w:rsid w:val="000C69C7"/>
    <w:rsid w:val="000D0ED3"/>
    <w:rsid w:val="000D3F0F"/>
    <w:rsid w:val="000D4F4C"/>
    <w:rsid w:val="000D71A1"/>
    <w:rsid w:val="000E168A"/>
    <w:rsid w:val="000E1915"/>
    <w:rsid w:val="000E36DB"/>
    <w:rsid w:val="000E47B4"/>
    <w:rsid w:val="000E4FFF"/>
    <w:rsid w:val="000E5DD9"/>
    <w:rsid w:val="000F039E"/>
    <w:rsid w:val="000F24A1"/>
    <w:rsid w:val="000F2AB4"/>
    <w:rsid w:val="000F5211"/>
    <w:rsid w:val="001004AA"/>
    <w:rsid w:val="001007F7"/>
    <w:rsid w:val="0010117C"/>
    <w:rsid w:val="001023FD"/>
    <w:rsid w:val="00102A36"/>
    <w:rsid w:val="00106A50"/>
    <w:rsid w:val="001101EC"/>
    <w:rsid w:val="0011267A"/>
    <w:rsid w:val="00113789"/>
    <w:rsid w:val="001168DC"/>
    <w:rsid w:val="00117257"/>
    <w:rsid w:val="00122EC8"/>
    <w:rsid w:val="00124057"/>
    <w:rsid w:val="00127D27"/>
    <w:rsid w:val="00132669"/>
    <w:rsid w:val="00133B0B"/>
    <w:rsid w:val="001371E3"/>
    <w:rsid w:val="0014082F"/>
    <w:rsid w:val="00141CE1"/>
    <w:rsid w:val="001432D6"/>
    <w:rsid w:val="00143960"/>
    <w:rsid w:val="00144258"/>
    <w:rsid w:val="0014517F"/>
    <w:rsid w:val="001525CD"/>
    <w:rsid w:val="00153068"/>
    <w:rsid w:val="00153915"/>
    <w:rsid w:val="00156BDB"/>
    <w:rsid w:val="0015756E"/>
    <w:rsid w:val="00157B01"/>
    <w:rsid w:val="00162EDD"/>
    <w:rsid w:val="00164954"/>
    <w:rsid w:val="00170619"/>
    <w:rsid w:val="00175521"/>
    <w:rsid w:val="001771CB"/>
    <w:rsid w:val="00177DCB"/>
    <w:rsid w:val="00177FE9"/>
    <w:rsid w:val="001805FB"/>
    <w:rsid w:val="00181852"/>
    <w:rsid w:val="001835D5"/>
    <w:rsid w:val="0018428A"/>
    <w:rsid w:val="001845ED"/>
    <w:rsid w:val="0018639D"/>
    <w:rsid w:val="001908B8"/>
    <w:rsid w:val="00191839"/>
    <w:rsid w:val="00194863"/>
    <w:rsid w:val="00194F97"/>
    <w:rsid w:val="001A45D5"/>
    <w:rsid w:val="001A4DF8"/>
    <w:rsid w:val="001A4EE7"/>
    <w:rsid w:val="001B1689"/>
    <w:rsid w:val="001B6D42"/>
    <w:rsid w:val="001C0C54"/>
    <w:rsid w:val="001C2016"/>
    <w:rsid w:val="001C206E"/>
    <w:rsid w:val="001C5298"/>
    <w:rsid w:val="001C5920"/>
    <w:rsid w:val="001C7BB1"/>
    <w:rsid w:val="001D1F05"/>
    <w:rsid w:val="001D7230"/>
    <w:rsid w:val="001E0E1F"/>
    <w:rsid w:val="001E10D0"/>
    <w:rsid w:val="001E14C0"/>
    <w:rsid w:val="001E1BCB"/>
    <w:rsid w:val="001E24A0"/>
    <w:rsid w:val="001E2548"/>
    <w:rsid w:val="001E315B"/>
    <w:rsid w:val="001E31AE"/>
    <w:rsid w:val="001E3EAD"/>
    <w:rsid w:val="001E4ED2"/>
    <w:rsid w:val="001E76C3"/>
    <w:rsid w:val="001F07A4"/>
    <w:rsid w:val="001F0D4E"/>
    <w:rsid w:val="001F0FF5"/>
    <w:rsid w:val="001F1AAD"/>
    <w:rsid w:val="001F2768"/>
    <w:rsid w:val="001F330B"/>
    <w:rsid w:val="001F4375"/>
    <w:rsid w:val="001F5197"/>
    <w:rsid w:val="002025A6"/>
    <w:rsid w:val="00202EF5"/>
    <w:rsid w:val="00204217"/>
    <w:rsid w:val="002059F8"/>
    <w:rsid w:val="0020759F"/>
    <w:rsid w:val="00210DBC"/>
    <w:rsid w:val="00212F31"/>
    <w:rsid w:val="00220A81"/>
    <w:rsid w:val="002225D5"/>
    <w:rsid w:val="0022486B"/>
    <w:rsid w:val="00225231"/>
    <w:rsid w:val="00226B83"/>
    <w:rsid w:val="002274B7"/>
    <w:rsid w:val="00231AC3"/>
    <w:rsid w:val="002320B1"/>
    <w:rsid w:val="00237DCA"/>
    <w:rsid w:val="002406EB"/>
    <w:rsid w:val="002452EF"/>
    <w:rsid w:val="00247A9F"/>
    <w:rsid w:val="00251D13"/>
    <w:rsid w:val="002572C0"/>
    <w:rsid w:val="00257CA8"/>
    <w:rsid w:val="00261109"/>
    <w:rsid w:val="002652EF"/>
    <w:rsid w:val="00265C01"/>
    <w:rsid w:val="00267842"/>
    <w:rsid w:val="00270377"/>
    <w:rsid w:val="0027232F"/>
    <w:rsid w:val="00272352"/>
    <w:rsid w:val="0027668B"/>
    <w:rsid w:val="002809AF"/>
    <w:rsid w:val="002825C0"/>
    <w:rsid w:val="00282B01"/>
    <w:rsid w:val="00285343"/>
    <w:rsid w:val="002859F9"/>
    <w:rsid w:val="00287EB6"/>
    <w:rsid w:val="00292427"/>
    <w:rsid w:val="002954B8"/>
    <w:rsid w:val="00296AF2"/>
    <w:rsid w:val="00296B7F"/>
    <w:rsid w:val="00296F84"/>
    <w:rsid w:val="002A11EB"/>
    <w:rsid w:val="002A3CD8"/>
    <w:rsid w:val="002A566B"/>
    <w:rsid w:val="002A6A41"/>
    <w:rsid w:val="002C0540"/>
    <w:rsid w:val="002C05E7"/>
    <w:rsid w:val="002C34ED"/>
    <w:rsid w:val="002C73A6"/>
    <w:rsid w:val="002C7491"/>
    <w:rsid w:val="002D2393"/>
    <w:rsid w:val="002D5971"/>
    <w:rsid w:val="002D727B"/>
    <w:rsid w:val="002D7FD6"/>
    <w:rsid w:val="002E129C"/>
    <w:rsid w:val="002E14C7"/>
    <w:rsid w:val="002E1A5A"/>
    <w:rsid w:val="002E4C8F"/>
    <w:rsid w:val="002E6848"/>
    <w:rsid w:val="002E72EA"/>
    <w:rsid w:val="002E7841"/>
    <w:rsid w:val="002E7F19"/>
    <w:rsid w:val="002F108B"/>
    <w:rsid w:val="002F10D4"/>
    <w:rsid w:val="002F1367"/>
    <w:rsid w:val="002F17D0"/>
    <w:rsid w:val="003022F2"/>
    <w:rsid w:val="00303037"/>
    <w:rsid w:val="00304B7D"/>
    <w:rsid w:val="00305207"/>
    <w:rsid w:val="0031047E"/>
    <w:rsid w:val="00310D28"/>
    <w:rsid w:val="00311353"/>
    <w:rsid w:val="003123C5"/>
    <w:rsid w:val="0031449A"/>
    <w:rsid w:val="003159A3"/>
    <w:rsid w:val="00316775"/>
    <w:rsid w:val="00321216"/>
    <w:rsid w:val="00322673"/>
    <w:rsid w:val="003252FA"/>
    <w:rsid w:val="00327A31"/>
    <w:rsid w:val="003357BB"/>
    <w:rsid w:val="003372F5"/>
    <w:rsid w:val="0034202C"/>
    <w:rsid w:val="00342E72"/>
    <w:rsid w:val="00345545"/>
    <w:rsid w:val="00353AD9"/>
    <w:rsid w:val="00353FCF"/>
    <w:rsid w:val="00354718"/>
    <w:rsid w:val="00354FD2"/>
    <w:rsid w:val="00356B11"/>
    <w:rsid w:val="0035718F"/>
    <w:rsid w:val="00357195"/>
    <w:rsid w:val="003571DF"/>
    <w:rsid w:val="00366FE0"/>
    <w:rsid w:val="003670D1"/>
    <w:rsid w:val="0036789F"/>
    <w:rsid w:val="00370739"/>
    <w:rsid w:val="00370A94"/>
    <w:rsid w:val="00373E43"/>
    <w:rsid w:val="00382117"/>
    <w:rsid w:val="00383463"/>
    <w:rsid w:val="00383898"/>
    <w:rsid w:val="00387136"/>
    <w:rsid w:val="00387251"/>
    <w:rsid w:val="00387FA5"/>
    <w:rsid w:val="003912B3"/>
    <w:rsid w:val="003924E8"/>
    <w:rsid w:val="00397DD0"/>
    <w:rsid w:val="00397E19"/>
    <w:rsid w:val="003A13CB"/>
    <w:rsid w:val="003A5F88"/>
    <w:rsid w:val="003A6E3C"/>
    <w:rsid w:val="003A6E70"/>
    <w:rsid w:val="003A7567"/>
    <w:rsid w:val="003B4B41"/>
    <w:rsid w:val="003C02AB"/>
    <w:rsid w:val="003C2335"/>
    <w:rsid w:val="003D11AB"/>
    <w:rsid w:val="003D57C5"/>
    <w:rsid w:val="003E2139"/>
    <w:rsid w:val="003E4C1C"/>
    <w:rsid w:val="003E597A"/>
    <w:rsid w:val="003E7228"/>
    <w:rsid w:val="003E7C08"/>
    <w:rsid w:val="003F2DEB"/>
    <w:rsid w:val="003F34A8"/>
    <w:rsid w:val="003F37BF"/>
    <w:rsid w:val="003F5A32"/>
    <w:rsid w:val="004019AB"/>
    <w:rsid w:val="00402A71"/>
    <w:rsid w:val="0040547C"/>
    <w:rsid w:val="00405A1A"/>
    <w:rsid w:val="00406167"/>
    <w:rsid w:val="00407C38"/>
    <w:rsid w:val="00407C70"/>
    <w:rsid w:val="004105D8"/>
    <w:rsid w:val="004129E7"/>
    <w:rsid w:val="00423B38"/>
    <w:rsid w:val="0042460A"/>
    <w:rsid w:val="00424A2D"/>
    <w:rsid w:val="0042546C"/>
    <w:rsid w:val="00427A7C"/>
    <w:rsid w:val="00430382"/>
    <w:rsid w:val="00432889"/>
    <w:rsid w:val="004329EE"/>
    <w:rsid w:val="00433793"/>
    <w:rsid w:val="00437148"/>
    <w:rsid w:val="0044424F"/>
    <w:rsid w:val="004502E4"/>
    <w:rsid w:val="00452599"/>
    <w:rsid w:val="00453EBD"/>
    <w:rsid w:val="0045693D"/>
    <w:rsid w:val="00457055"/>
    <w:rsid w:val="00460180"/>
    <w:rsid w:val="00462CF3"/>
    <w:rsid w:val="00463294"/>
    <w:rsid w:val="004653CE"/>
    <w:rsid w:val="00466BC0"/>
    <w:rsid w:val="00471B69"/>
    <w:rsid w:val="0047389C"/>
    <w:rsid w:val="00474129"/>
    <w:rsid w:val="004741FC"/>
    <w:rsid w:val="004750FF"/>
    <w:rsid w:val="00475DCD"/>
    <w:rsid w:val="00487256"/>
    <w:rsid w:val="0049164B"/>
    <w:rsid w:val="00491CB4"/>
    <w:rsid w:val="00492937"/>
    <w:rsid w:val="00493F18"/>
    <w:rsid w:val="00494E25"/>
    <w:rsid w:val="00496B20"/>
    <w:rsid w:val="004A05B2"/>
    <w:rsid w:val="004A2315"/>
    <w:rsid w:val="004A2DAB"/>
    <w:rsid w:val="004A40CF"/>
    <w:rsid w:val="004A4718"/>
    <w:rsid w:val="004A4966"/>
    <w:rsid w:val="004A5058"/>
    <w:rsid w:val="004A549F"/>
    <w:rsid w:val="004A57A2"/>
    <w:rsid w:val="004B2D5C"/>
    <w:rsid w:val="004B5545"/>
    <w:rsid w:val="004B6529"/>
    <w:rsid w:val="004B7265"/>
    <w:rsid w:val="004B746A"/>
    <w:rsid w:val="004B767C"/>
    <w:rsid w:val="004C1353"/>
    <w:rsid w:val="004C2644"/>
    <w:rsid w:val="004C30E4"/>
    <w:rsid w:val="004C5EF0"/>
    <w:rsid w:val="004C674B"/>
    <w:rsid w:val="004C6A04"/>
    <w:rsid w:val="004C7727"/>
    <w:rsid w:val="004D0390"/>
    <w:rsid w:val="004D6692"/>
    <w:rsid w:val="004D693C"/>
    <w:rsid w:val="004E7253"/>
    <w:rsid w:val="004E7CB8"/>
    <w:rsid w:val="004F24D4"/>
    <w:rsid w:val="004F2C1D"/>
    <w:rsid w:val="004F4B3A"/>
    <w:rsid w:val="00501C5C"/>
    <w:rsid w:val="005021AA"/>
    <w:rsid w:val="0050266D"/>
    <w:rsid w:val="00502F1F"/>
    <w:rsid w:val="00503A99"/>
    <w:rsid w:val="00510F2B"/>
    <w:rsid w:val="00512A36"/>
    <w:rsid w:val="00515397"/>
    <w:rsid w:val="00515788"/>
    <w:rsid w:val="005228F8"/>
    <w:rsid w:val="00524F9E"/>
    <w:rsid w:val="00526359"/>
    <w:rsid w:val="00526826"/>
    <w:rsid w:val="00527BC3"/>
    <w:rsid w:val="0053032B"/>
    <w:rsid w:val="005337A3"/>
    <w:rsid w:val="00534D9E"/>
    <w:rsid w:val="00535564"/>
    <w:rsid w:val="00536A43"/>
    <w:rsid w:val="00537A2E"/>
    <w:rsid w:val="005436AA"/>
    <w:rsid w:val="00544004"/>
    <w:rsid w:val="00544F02"/>
    <w:rsid w:val="00545D4F"/>
    <w:rsid w:val="005465B9"/>
    <w:rsid w:val="00547176"/>
    <w:rsid w:val="00552CC6"/>
    <w:rsid w:val="00553E1D"/>
    <w:rsid w:val="00554457"/>
    <w:rsid w:val="00557DF3"/>
    <w:rsid w:val="005618EE"/>
    <w:rsid w:val="005629DA"/>
    <w:rsid w:val="00565093"/>
    <w:rsid w:val="005653CD"/>
    <w:rsid w:val="0057154E"/>
    <w:rsid w:val="005726B4"/>
    <w:rsid w:val="00572E2B"/>
    <w:rsid w:val="00580A0A"/>
    <w:rsid w:val="00580FBC"/>
    <w:rsid w:val="00590F77"/>
    <w:rsid w:val="00591D4C"/>
    <w:rsid w:val="00594415"/>
    <w:rsid w:val="00595DE9"/>
    <w:rsid w:val="005A100A"/>
    <w:rsid w:val="005A2982"/>
    <w:rsid w:val="005A2ECC"/>
    <w:rsid w:val="005A36B8"/>
    <w:rsid w:val="005A44E4"/>
    <w:rsid w:val="005B32D5"/>
    <w:rsid w:val="005B3B30"/>
    <w:rsid w:val="005B485B"/>
    <w:rsid w:val="005C0926"/>
    <w:rsid w:val="005C18A3"/>
    <w:rsid w:val="005C2512"/>
    <w:rsid w:val="005C3A9B"/>
    <w:rsid w:val="005C613C"/>
    <w:rsid w:val="005C7FA8"/>
    <w:rsid w:val="005D1825"/>
    <w:rsid w:val="005D5645"/>
    <w:rsid w:val="005D5A8D"/>
    <w:rsid w:val="005D5B2E"/>
    <w:rsid w:val="005D6E67"/>
    <w:rsid w:val="005E079A"/>
    <w:rsid w:val="005E0B02"/>
    <w:rsid w:val="005E1F92"/>
    <w:rsid w:val="005E5B3E"/>
    <w:rsid w:val="005E5B41"/>
    <w:rsid w:val="005E6207"/>
    <w:rsid w:val="005E6720"/>
    <w:rsid w:val="005F13AD"/>
    <w:rsid w:val="005F2D43"/>
    <w:rsid w:val="005F2E6F"/>
    <w:rsid w:val="005F330F"/>
    <w:rsid w:val="005F365F"/>
    <w:rsid w:val="005F453A"/>
    <w:rsid w:val="005F6ECD"/>
    <w:rsid w:val="005F7EC9"/>
    <w:rsid w:val="00600B17"/>
    <w:rsid w:val="00601302"/>
    <w:rsid w:val="00603316"/>
    <w:rsid w:val="006042A2"/>
    <w:rsid w:val="00605A5C"/>
    <w:rsid w:val="00617428"/>
    <w:rsid w:val="00620044"/>
    <w:rsid w:val="006223AE"/>
    <w:rsid w:val="00622445"/>
    <w:rsid w:val="00630546"/>
    <w:rsid w:val="0063144D"/>
    <w:rsid w:val="00631F92"/>
    <w:rsid w:val="006335D1"/>
    <w:rsid w:val="00633996"/>
    <w:rsid w:val="00643DFB"/>
    <w:rsid w:val="00645778"/>
    <w:rsid w:val="006512CB"/>
    <w:rsid w:val="00651C56"/>
    <w:rsid w:val="00654295"/>
    <w:rsid w:val="00657C15"/>
    <w:rsid w:val="00657C39"/>
    <w:rsid w:val="00660CF7"/>
    <w:rsid w:val="00663F98"/>
    <w:rsid w:val="00665C99"/>
    <w:rsid w:val="00665D65"/>
    <w:rsid w:val="00666DF2"/>
    <w:rsid w:val="00667EEF"/>
    <w:rsid w:val="00671FD2"/>
    <w:rsid w:val="00672167"/>
    <w:rsid w:val="00672E2A"/>
    <w:rsid w:val="006742EC"/>
    <w:rsid w:val="00674EED"/>
    <w:rsid w:val="0067730B"/>
    <w:rsid w:val="006775ED"/>
    <w:rsid w:val="0068176D"/>
    <w:rsid w:val="00683AB5"/>
    <w:rsid w:val="0068544F"/>
    <w:rsid w:val="00686AE7"/>
    <w:rsid w:val="00687C0A"/>
    <w:rsid w:val="00687F55"/>
    <w:rsid w:val="00690625"/>
    <w:rsid w:val="00692BE7"/>
    <w:rsid w:val="00695334"/>
    <w:rsid w:val="00695A2F"/>
    <w:rsid w:val="0069719D"/>
    <w:rsid w:val="006A097D"/>
    <w:rsid w:val="006A12CD"/>
    <w:rsid w:val="006A2411"/>
    <w:rsid w:val="006A4FEF"/>
    <w:rsid w:val="006A5E75"/>
    <w:rsid w:val="006B0061"/>
    <w:rsid w:val="006B7853"/>
    <w:rsid w:val="006C2A98"/>
    <w:rsid w:val="006C3909"/>
    <w:rsid w:val="006C45AB"/>
    <w:rsid w:val="006C5290"/>
    <w:rsid w:val="006C713F"/>
    <w:rsid w:val="006C737A"/>
    <w:rsid w:val="006D1E08"/>
    <w:rsid w:val="006D2D0D"/>
    <w:rsid w:val="006D7585"/>
    <w:rsid w:val="006E52E5"/>
    <w:rsid w:val="006F0099"/>
    <w:rsid w:val="006F0CF3"/>
    <w:rsid w:val="006F223A"/>
    <w:rsid w:val="006F5636"/>
    <w:rsid w:val="006F6E9D"/>
    <w:rsid w:val="006F7A88"/>
    <w:rsid w:val="00701A4B"/>
    <w:rsid w:val="00701F69"/>
    <w:rsid w:val="007025AC"/>
    <w:rsid w:val="00703060"/>
    <w:rsid w:val="00706A60"/>
    <w:rsid w:val="00706DB2"/>
    <w:rsid w:val="0070790E"/>
    <w:rsid w:val="007109D0"/>
    <w:rsid w:val="00712AE1"/>
    <w:rsid w:val="00712EE0"/>
    <w:rsid w:val="00714C55"/>
    <w:rsid w:val="00714D2D"/>
    <w:rsid w:val="00715DE3"/>
    <w:rsid w:val="007178FE"/>
    <w:rsid w:val="0072140F"/>
    <w:rsid w:val="00723CC6"/>
    <w:rsid w:val="00723E89"/>
    <w:rsid w:val="00726A77"/>
    <w:rsid w:val="00730397"/>
    <w:rsid w:val="007308E4"/>
    <w:rsid w:val="0073170B"/>
    <w:rsid w:val="00740488"/>
    <w:rsid w:val="00742964"/>
    <w:rsid w:val="0074705D"/>
    <w:rsid w:val="007540E9"/>
    <w:rsid w:val="00755BB6"/>
    <w:rsid w:val="007600FC"/>
    <w:rsid w:val="00760A02"/>
    <w:rsid w:val="0076173F"/>
    <w:rsid w:val="00762384"/>
    <w:rsid w:val="00762631"/>
    <w:rsid w:val="00762BC9"/>
    <w:rsid w:val="00763FF7"/>
    <w:rsid w:val="007643BC"/>
    <w:rsid w:val="00766C98"/>
    <w:rsid w:val="00774F91"/>
    <w:rsid w:val="00776C04"/>
    <w:rsid w:val="007812DE"/>
    <w:rsid w:val="0078274C"/>
    <w:rsid w:val="00784148"/>
    <w:rsid w:val="00784249"/>
    <w:rsid w:val="00794F77"/>
    <w:rsid w:val="00797913"/>
    <w:rsid w:val="007A079D"/>
    <w:rsid w:val="007A1BC8"/>
    <w:rsid w:val="007A7201"/>
    <w:rsid w:val="007B7CE4"/>
    <w:rsid w:val="007C465C"/>
    <w:rsid w:val="007C5F5F"/>
    <w:rsid w:val="007E08BC"/>
    <w:rsid w:val="007E0D34"/>
    <w:rsid w:val="007E43AD"/>
    <w:rsid w:val="007E64CF"/>
    <w:rsid w:val="007E67A9"/>
    <w:rsid w:val="007E7616"/>
    <w:rsid w:val="007F11F3"/>
    <w:rsid w:val="007F266D"/>
    <w:rsid w:val="007F4A9B"/>
    <w:rsid w:val="0080275C"/>
    <w:rsid w:val="00802D4E"/>
    <w:rsid w:val="00802F86"/>
    <w:rsid w:val="00803AA5"/>
    <w:rsid w:val="00803AC3"/>
    <w:rsid w:val="00807A2C"/>
    <w:rsid w:val="0081034F"/>
    <w:rsid w:val="0081255D"/>
    <w:rsid w:val="0081279F"/>
    <w:rsid w:val="008128ED"/>
    <w:rsid w:val="00812BB1"/>
    <w:rsid w:val="008151B1"/>
    <w:rsid w:val="008151CA"/>
    <w:rsid w:val="00817B8D"/>
    <w:rsid w:val="00821235"/>
    <w:rsid w:val="00821C2D"/>
    <w:rsid w:val="00822A90"/>
    <w:rsid w:val="00824798"/>
    <w:rsid w:val="00830CA3"/>
    <w:rsid w:val="008314C1"/>
    <w:rsid w:val="00832654"/>
    <w:rsid w:val="00833533"/>
    <w:rsid w:val="00837016"/>
    <w:rsid w:val="008434FA"/>
    <w:rsid w:val="00843869"/>
    <w:rsid w:val="00844294"/>
    <w:rsid w:val="008448D5"/>
    <w:rsid w:val="0085342B"/>
    <w:rsid w:val="008573A8"/>
    <w:rsid w:val="00860393"/>
    <w:rsid w:val="0086076B"/>
    <w:rsid w:val="008611B1"/>
    <w:rsid w:val="00863E54"/>
    <w:rsid w:val="00863F82"/>
    <w:rsid w:val="00864066"/>
    <w:rsid w:val="00864EC2"/>
    <w:rsid w:val="00871144"/>
    <w:rsid w:val="00872C83"/>
    <w:rsid w:val="008734DE"/>
    <w:rsid w:val="00875005"/>
    <w:rsid w:val="008760D4"/>
    <w:rsid w:val="0087795E"/>
    <w:rsid w:val="00880B52"/>
    <w:rsid w:val="008846A5"/>
    <w:rsid w:val="00885AD3"/>
    <w:rsid w:val="00886981"/>
    <w:rsid w:val="00891D29"/>
    <w:rsid w:val="00894ED9"/>
    <w:rsid w:val="0089528B"/>
    <w:rsid w:val="008954AF"/>
    <w:rsid w:val="0089553B"/>
    <w:rsid w:val="00895953"/>
    <w:rsid w:val="00895DA4"/>
    <w:rsid w:val="0089653F"/>
    <w:rsid w:val="00897757"/>
    <w:rsid w:val="008978D8"/>
    <w:rsid w:val="008A2021"/>
    <w:rsid w:val="008A3024"/>
    <w:rsid w:val="008A3A13"/>
    <w:rsid w:val="008A7D9C"/>
    <w:rsid w:val="008B2511"/>
    <w:rsid w:val="008B4E8E"/>
    <w:rsid w:val="008B7A5A"/>
    <w:rsid w:val="008C0C39"/>
    <w:rsid w:val="008C1098"/>
    <w:rsid w:val="008C2857"/>
    <w:rsid w:val="008C5410"/>
    <w:rsid w:val="008C58D4"/>
    <w:rsid w:val="008C5B5B"/>
    <w:rsid w:val="008C7C76"/>
    <w:rsid w:val="008C7F60"/>
    <w:rsid w:val="008D191D"/>
    <w:rsid w:val="008D2AF7"/>
    <w:rsid w:val="008D3E0C"/>
    <w:rsid w:val="008D4445"/>
    <w:rsid w:val="008D551A"/>
    <w:rsid w:val="008D63AC"/>
    <w:rsid w:val="008E0233"/>
    <w:rsid w:val="008E0B04"/>
    <w:rsid w:val="008E1464"/>
    <w:rsid w:val="008E5A5C"/>
    <w:rsid w:val="008E6ECA"/>
    <w:rsid w:val="008F0624"/>
    <w:rsid w:val="008F1FC2"/>
    <w:rsid w:val="008F2CE2"/>
    <w:rsid w:val="008F3230"/>
    <w:rsid w:val="008F3C3F"/>
    <w:rsid w:val="008F434A"/>
    <w:rsid w:val="008F606B"/>
    <w:rsid w:val="008F6895"/>
    <w:rsid w:val="009001DE"/>
    <w:rsid w:val="009002B8"/>
    <w:rsid w:val="00900415"/>
    <w:rsid w:val="00904A62"/>
    <w:rsid w:val="00910E6A"/>
    <w:rsid w:val="00912B64"/>
    <w:rsid w:val="009137E7"/>
    <w:rsid w:val="00913D47"/>
    <w:rsid w:val="0091733F"/>
    <w:rsid w:val="00920D1F"/>
    <w:rsid w:val="0092405C"/>
    <w:rsid w:val="00925844"/>
    <w:rsid w:val="00925B72"/>
    <w:rsid w:val="009317FE"/>
    <w:rsid w:val="00932AEE"/>
    <w:rsid w:val="0093342E"/>
    <w:rsid w:val="00937254"/>
    <w:rsid w:val="00940969"/>
    <w:rsid w:val="00942104"/>
    <w:rsid w:val="00944461"/>
    <w:rsid w:val="00945828"/>
    <w:rsid w:val="00945962"/>
    <w:rsid w:val="00950FF8"/>
    <w:rsid w:val="00952FF8"/>
    <w:rsid w:val="009541BB"/>
    <w:rsid w:val="009562C4"/>
    <w:rsid w:val="00957901"/>
    <w:rsid w:val="00960646"/>
    <w:rsid w:val="00960C30"/>
    <w:rsid w:val="00964184"/>
    <w:rsid w:val="00965A0E"/>
    <w:rsid w:val="009666CD"/>
    <w:rsid w:val="00966E66"/>
    <w:rsid w:val="00967A60"/>
    <w:rsid w:val="009704CD"/>
    <w:rsid w:val="00976CAE"/>
    <w:rsid w:val="009820AA"/>
    <w:rsid w:val="00983F6D"/>
    <w:rsid w:val="00985A90"/>
    <w:rsid w:val="009867E7"/>
    <w:rsid w:val="009870AE"/>
    <w:rsid w:val="009905D5"/>
    <w:rsid w:val="00990E56"/>
    <w:rsid w:val="00991E91"/>
    <w:rsid w:val="009929B6"/>
    <w:rsid w:val="00992C43"/>
    <w:rsid w:val="0099322A"/>
    <w:rsid w:val="009932A4"/>
    <w:rsid w:val="00994CC8"/>
    <w:rsid w:val="00997E10"/>
    <w:rsid w:val="009A2E41"/>
    <w:rsid w:val="009A4A9D"/>
    <w:rsid w:val="009A5C20"/>
    <w:rsid w:val="009A6C6D"/>
    <w:rsid w:val="009A6E65"/>
    <w:rsid w:val="009A7F71"/>
    <w:rsid w:val="009B0787"/>
    <w:rsid w:val="009B4799"/>
    <w:rsid w:val="009B47A0"/>
    <w:rsid w:val="009B52F6"/>
    <w:rsid w:val="009B57AE"/>
    <w:rsid w:val="009C09F8"/>
    <w:rsid w:val="009C0BA5"/>
    <w:rsid w:val="009C160B"/>
    <w:rsid w:val="009C26F0"/>
    <w:rsid w:val="009C5E88"/>
    <w:rsid w:val="009C67BF"/>
    <w:rsid w:val="009C6CB4"/>
    <w:rsid w:val="009D0AA6"/>
    <w:rsid w:val="009D1C4D"/>
    <w:rsid w:val="009D504E"/>
    <w:rsid w:val="009D5EC4"/>
    <w:rsid w:val="009D6379"/>
    <w:rsid w:val="009E1834"/>
    <w:rsid w:val="009E246D"/>
    <w:rsid w:val="009E24FA"/>
    <w:rsid w:val="009E3A36"/>
    <w:rsid w:val="009F064E"/>
    <w:rsid w:val="009F2E83"/>
    <w:rsid w:val="009F437C"/>
    <w:rsid w:val="009F5F4E"/>
    <w:rsid w:val="009F6734"/>
    <w:rsid w:val="009F725E"/>
    <w:rsid w:val="009F7E73"/>
    <w:rsid w:val="00A00C46"/>
    <w:rsid w:val="00A02021"/>
    <w:rsid w:val="00A03254"/>
    <w:rsid w:val="00A03A57"/>
    <w:rsid w:val="00A0535A"/>
    <w:rsid w:val="00A0674B"/>
    <w:rsid w:val="00A1125B"/>
    <w:rsid w:val="00A115D0"/>
    <w:rsid w:val="00A12109"/>
    <w:rsid w:val="00A12D1B"/>
    <w:rsid w:val="00A159D7"/>
    <w:rsid w:val="00A16E34"/>
    <w:rsid w:val="00A21F22"/>
    <w:rsid w:val="00A23569"/>
    <w:rsid w:val="00A23BAE"/>
    <w:rsid w:val="00A31019"/>
    <w:rsid w:val="00A31060"/>
    <w:rsid w:val="00A336CC"/>
    <w:rsid w:val="00A3502C"/>
    <w:rsid w:val="00A357BA"/>
    <w:rsid w:val="00A4390A"/>
    <w:rsid w:val="00A440A0"/>
    <w:rsid w:val="00A45332"/>
    <w:rsid w:val="00A469EC"/>
    <w:rsid w:val="00A46D84"/>
    <w:rsid w:val="00A46E1B"/>
    <w:rsid w:val="00A52DC8"/>
    <w:rsid w:val="00A53431"/>
    <w:rsid w:val="00A55237"/>
    <w:rsid w:val="00A56947"/>
    <w:rsid w:val="00A606A4"/>
    <w:rsid w:val="00A63A19"/>
    <w:rsid w:val="00A65036"/>
    <w:rsid w:val="00A7083A"/>
    <w:rsid w:val="00A71F5E"/>
    <w:rsid w:val="00A814CC"/>
    <w:rsid w:val="00A81E2B"/>
    <w:rsid w:val="00A837BF"/>
    <w:rsid w:val="00A84782"/>
    <w:rsid w:val="00A850C8"/>
    <w:rsid w:val="00A85B55"/>
    <w:rsid w:val="00A91B23"/>
    <w:rsid w:val="00A92096"/>
    <w:rsid w:val="00A92BDF"/>
    <w:rsid w:val="00A9557C"/>
    <w:rsid w:val="00A970A8"/>
    <w:rsid w:val="00A97EC2"/>
    <w:rsid w:val="00AA0C2C"/>
    <w:rsid w:val="00AA1EB1"/>
    <w:rsid w:val="00AA2983"/>
    <w:rsid w:val="00AA427F"/>
    <w:rsid w:val="00AA5BEE"/>
    <w:rsid w:val="00AB1E96"/>
    <w:rsid w:val="00AB2276"/>
    <w:rsid w:val="00AB29B6"/>
    <w:rsid w:val="00AB3F0A"/>
    <w:rsid w:val="00AB4791"/>
    <w:rsid w:val="00AB669D"/>
    <w:rsid w:val="00AB6CAF"/>
    <w:rsid w:val="00AC0FF1"/>
    <w:rsid w:val="00AC17AD"/>
    <w:rsid w:val="00AC19AD"/>
    <w:rsid w:val="00AC2238"/>
    <w:rsid w:val="00AC289C"/>
    <w:rsid w:val="00AC6EA8"/>
    <w:rsid w:val="00AC7C8D"/>
    <w:rsid w:val="00AD2052"/>
    <w:rsid w:val="00AD27FA"/>
    <w:rsid w:val="00AD2B07"/>
    <w:rsid w:val="00AD301B"/>
    <w:rsid w:val="00AD3530"/>
    <w:rsid w:val="00AD3FA3"/>
    <w:rsid w:val="00AD67A8"/>
    <w:rsid w:val="00AE4807"/>
    <w:rsid w:val="00AE4833"/>
    <w:rsid w:val="00AE7FA7"/>
    <w:rsid w:val="00AE7FED"/>
    <w:rsid w:val="00AF3EE3"/>
    <w:rsid w:val="00AF6316"/>
    <w:rsid w:val="00B01162"/>
    <w:rsid w:val="00B02C26"/>
    <w:rsid w:val="00B032B3"/>
    <w:rsid w:val="00B041F9"/>
    <w:rsid w:val="00B07AA8"/>
    <w:rsid w:val="00B137FF"/>
    <w:rsid w:val="00B15C17"/>
    <w:rsid w:val="00B1637B"/>
    <w:rsid w:val="00B1694F"/>
    <w:rsid w:val="00B2242A"/>
    <w:rsid w:val="00B264DB"/>
    <w:rsid w:val="00B32CC8"/>
    <w:rsid w:val="00B361DC"/>
    <w:rsid w:val="00B36313"/>
    <w:rsid w:val="00B3726F"/>
    <w:rsid w:val="00B40145"/>
    <w:rsid w:val="00B41896"/>
    <w:rsid w:val="00B41C82"/>
    <w:rsid w:val="00B4258E"/>
    <w:rsid w:val="00B42657"/>
    <w:rsid w:val="00B45FF2"/>
    <w:rsid w:val="00B47DB3"/>
    <w:rsid w:val="00B50FDA"/>
    <w:rsid w:val="00B52813"/>
    <w:rsid w:val="00B57177"/>
    <w:rsid w:val="00B60407"/>
    <w:rsid w:val="00B60D18"/>
    <w:rsid w:val="00B621D4"/>
    <w:rsid w:val="00B62A47"/>
    <w:rsid w:val="00B650EF"/>
    <w:rsid w:val="00B660C4"/>
    <w:rsid w:val="00B66158"/>
    <w:rsid w:val="00B66647"/>
    <w:rsid w:val="00B71F04"/>
    <w:rsid w:val="00B742D9"/>
    <w:rsid w:val="00B851E3"/>
    <w:rsid w:val="00B901D5"/>
    <w:rsid w:val="00B91DA0"/>
    <w:rsid w:val="00B92073"/>
    <w:rsid w:val="00B92991"/>
    <w:rsid w:val="00B939BD"/>
    <w:rsid w:val="00B93E96"/>
    <w:rsid w:val="00B95263"/>
    <w:rsid w:val="00BA00C2"/>
    <w:rsid w:val="00BA2712"/>
    <w:rsid w:val="00BA3BA2"/>
    <w:rsid w:val="00BA47C2"/>
    <w:rsid w:val="00BA4C29"/>
    <w:rsid w:val="00BA55F7"/>
    <w:rsid w:val="00BA5EE2"/>
    <w:rsid w:val="00BA7B80"/>
    <w:rsid w:val="00BB0362"/>
    <w:rsid w:val="00BB08B7"/>
    <w:rsid w:val="00BB0C77"/>
    <w:rsid w:val="00BB0EF6"/>
    <w:rsid w:val="00BB1EB2"/>
    <w:rsid w:val="00BB3CD3"/>
    <w:rsid w:val="00BB4433"/>
    <w:rsid w:val="00BB5CBB"/>
    <w:rsid w:val="00BB618D"/>
    <w:rsid w:val="00BC0743"/>
    <w:rsid w:val="00BC61AE"/>
    <w:rsid w:val="00BC6DCC"/>
    <w:rsid w:val="00BC727C"/>
    <w:rsid w:val="00BD007B"/>
    <w:rsid w:val="00BD0AEB"/>
    <w:rsid w:val="00BD3784"/>
    <w:rsid w:val="00BD3924"/>
    <w:rsid w:val="00BD4A1C"/>
    <w:rsid w:val="00BD4B30"/>
    <w:rsid w:val="00BD5E92"/>
    <w:rsid w:val="00BD6410"/>
    <w:rsid w:val="00BD7304"/>
    <w:rsid w:val="00BD7B6F"/>
    <w:rsid w:val="00BE43CC"/>
    <w:rsid w:val="00BE6064"/>
    <w:rsid w:val="00BE6603"/>
    <w:rsid w:val="00BE69D5"/>
    <w:rsid w:val="00BF174B"/>
    <w:rsid w:val="00BF17D0"/>
    <w:rsid w:val="00BF27D0"/>
    <w:rsid w:val="00BF4008"/>
    <w:rsid w:val="00BF5379"/>
    <w:rsid w:val="00BF6027"/>
    <w:rsid w:val="00BF7B34"/>
    <w:rsid w:val="00C04F82"/>
    <w:rsid w:val="00C06529"/>
    <w:rsid w:val="00C10276"/>
    <w:rsid w:val="00C1077F"/>
    <w:rsid w:val="00C15B7F"/>
    <w:rsid w:val="00C1663F"/>
    <w:rsid w:val="00C16F09"/>
    <w:rsid w:val="00C17199"/>
    <w:rsid w:val="00C1784A"/>
    <w:rsid w:val="00C20E6C"/>
    <w:rsid w:val="00C2231D"/>
    <w:rsid w:val="00C339D5"/>
    <w:rsid w:val="00C34EE9"/>
    <w:rsid w:val="00C3797F"/>
    <w:rsid w:val="00C40065"/>
    <w:rsid w:val="00C41C7C"/>
    <w:rsid w:val="00C4229B"/>
    <w:rsid w:val="00C4246A"/>
    <w:rsid w:val="00C42E77"/>
    <w:rsid w:val="00C43EDE"/>
    <w:rsid w:val="00C444A8"/>
    <w:rsid w:val="00C450F7"/>
    <w:rsid w:val="00C4652F"/>
    <w:rsid w:val="00C4761C"/>
    <w:rsid w:val="00C50170"/>
    <w:rsid w:val="00C50EF0"/>
    <w:rsid w:val="00C52434"/>
    <w:rsid w:val="00C52B38"/>
    <w:rsid w:val="00C52BF3"/>
    <w:rsid w:val="00C53B3E"/>
    <w:rsid w:val="00C548B5"/>
    <w:rsid w:val="00C54954"/>
    <w:rsid w:val="00C556D7"/>
    <w:rsid w:val="00C5583C"/>
    <w:rsid w:val="00C55EF7"/>
    <w:rsid w:val="00C57216"/>
    <w:rsid w:val="00C60614"/>
    <w:rsid w:val="00C62B74"/>
    <w:rsid w:val="00C64296"/>
    <w:rsid w:val="00C64A45"/>
    <w:rsid w:val="00C65F1F"/>
    <w:rsid w:val="00C66570"/>
    <w:rsid w:val="00C770C5"/>
    <w:rsid w:val="00C77E1F"/>
    <w:rsid w:val="00C81A67"/>
    <w:rsid w:val="00C8466A"/>
    <w:rsid w:val="00C8466D"/>
    <w:rsid w:val="00C84C17"/>
    <w:rsid w:val="00C85F33"/>
    <w:rsid w:val="00C867E6"/>
    <w:rsid w:val="00C8753F"/>
    <w:rsid w:val="00C90A0D"/>
    <w:rsid w:val="00C9143F"/>
    <w:rsid w:val="00C918D9"/>
    <w:rsid w:val="00CA0902"/>
    <w:rsid w:val="00CA0FA5"/>
    <w:rsid w:val="00CA13A2"/>
    <w:rsid w:val="00CA1476"/>
    <w:rsid w:val="00CA36BB"/>
    <w:rsid w:val="00CA5E75"/>
    <w:rsid w:val="00CB2476"/>
    <w:rsid w:val="00CB63E1"/>
    <w:rsid w:val="00CC35C8"/>
    <w:rsid w:val="00CC78C5"/>
    <w:rsid w:val="00CD14A5"/>
    <w:rsid w:val="00CD166F"/>
    <w:rsid w:val="00CD5BE7"/>
    <w:rsid w:val="00CD705A"/>
    <w:rsid w:val="00CD71AA"/>
    <w:rsid w:val="00CD74C1"/>
    <w:rsid w:val="00CD7F45"/>
    <w:rsid w:val="00CE1C78"/>
    <w:rsid w:val="00CE379B"/>
    <w:rsid w:val="00CE465E"/>
    <w:rsid w:val="00CE669F"/>
    <w:rsid w:val="00CE6702"/>
    <w:rsid w:val="00CE7587"/>
    <w:rsid w:val="00CE7E49"/>
    <w:rsid w:val="00CF27FB"/>
    <w:rsid w:val="00CF3F13"/>
    <w:rsid w:val="00CF55B0"/>
    <w:rsid w:val="00CF5EA6"/>
    <w:rsid w:val="00CF63A8"/>
    <w:rsid w:val="00CF65F7"/>
    <w:rsid w:val="00CF688B"/>
    <w:rsid w:val="00D0034E"/>
    <w:rsid w:val="00D02059"/>
    <w:rsid w:val="00D0228B"/>
    <w:rsid w:val="00D03B8B"/>
    <w:rsid w:val="00D06111"/>
    <w:rsid w:val="00D076D2"/>
    <w:rsid w:val="00D1218C"/>
    <w:rsid w:val="00D139F5"/>
    <w:rsid w:val="00D2210D"/>
    <w:rsid w:val="00D22D6B"/>
    <w:rsid w:val="00D24560"/>
    <w:rsid w:val="00D245A3"/>
    <w:rsid w:val="00D276C0"/>
    <w:rsid w:val="00D300BA"/>
    <w:rsid w:val="00D30D94"/>
    <w:rsid w:val="00D334A0"/>
    <w:rsid w:val="00D33F38"/>
    <w:rsid w:val="00D34E2C"/>
    <w:rsid w:val="00D36BB4"/>
    <w:rsid w:val="00D376BB"/>
    <w:rsid w:val="00D37E93"/>
    <w:rsid w:val="00D4271B"/>
    <w:rsid w:val="00D44216"/>
    <w:rsid w:val="00D4558B"/>
    <w:rsid w:val="00D503A2"/>
    <w:rsid w:val="00D509BB"/>
    <w:rsid w:val="00D51515"/>
    <w:rsid w:val="00D52E9C"/>
    <w:rsid w:val="00D54993"/>
    <w:rsid w:val="00D61696"/>
    <w:rsid w:val="00D61F19"/>
    <w:rsid w:val="00D62B94"/>
    <w:rsid w:val="00D656F4"/>
    <w:rsid w:val="00D67D07"/>
    <w:rsid w:val="00D730AE"/>
    <w:rsid w:val="00D732A8"/>
    <w:rsid w:val="00D7494A"/>
    <w:rsid w:val="00D74C14"/>
    <w:rsid w:val="00D77208"/>
    <w:rsid w:val="00D83699"/>
    <w:rsid w:val="00D85238"/>
    <w:rsid w:val="00D93A10"/>
    <w:rsid w:val="00D940BF"/>
    <w:rsid w:val="00D945FB"/>
    <w:rsid w:val="00D977D5"/>
    <w:rsid w:val="00D97FBA"/>
    <w:rsid w:val="00DA4731"/>
    <w:rsid w:val="00DA7A45"/>
    <w:rsid w:val="00DA7A94"/>
    <w:rsid w:val="00DB04FA"/>
    <w:rsid w:val="00DB0622"/>
    <w:rsid w:val="00DB11A9"/>
    <w:rsid w:val="00DB26C5"/>
    <w:rsid w:val="00DB2968"/>
    <w:rsid w:val="00DB33BA"/>
    <w:rsid w:val="00DB555C"/>
    <w:rsid w:val="00DB59DA"/>
    <w:rsid w:val="00DB6406"/>
    <w:rsid w:val="00DB6547"/>
    <w:rsid w:val="00DB6A7A"/>
    <w:rsid w:val="00DB709E"/>
    <w:rsid w:val="00DC192E"/>
    <w:rsid w:val="00DC19DF"/>
    <w:rsid w:val="00DC2C5A"/>
    <w:rsid w:val="00DC5CCA"/>
    <w:rsid w:val="00DC6B72"/>
    <w:rsid w:val="00DD1EA2"/>
    <w:rsid w:val="00DD6AEB"/>
    <w:rsid w:val="00DE0127"/>
    <w:rsid w:val="00DE0D95"/>
    <w:rsid w:val="00DE11B9"/>
    <w:rsid w:val="00DE1427"/>
    <w:rsid w:val="00DE1713"/>
    <w:rsid w:val="00DE2ABF"/>
    <w:rsid w:val="00DE5EE0"/>
    <w:rsid w:val="00DE5F74"/>
    <w:rsid w:val="00DE6EFD"/>
    <w:rsid w:val="00DF15FE"/>
    <w:rsid w:val="00DF21D8"/>
    <w:rsid w:val="00DF22CE"/>
    <w:rsid w:val="00DF2D1C"/>
    <w:rsid w:val="00DF33B6"/>
    <w:rsid w:val="00DF39D7"/>
    <w:rsid w:val="00DF7B10"/>
    <w:rsid w:val="00E00D8B"/>
    <w:rsid w:val="00E01981"/>
    <w:rsid w:val="00E02360"/>
    <w:rsid w:val="00E0286E"/>
    <w:rsid w:val="00E02F18"/>
    <w:rsid w:val="00E0399E"/>
    <w:rsid w:val="00E05029"/>
    <w:rsid w:val="00E07B40"/>
    <w:rsid w:val="00E07D22"/>
    <w:rsid w:val="00E1035C"/>
    <w:rsid w:val="00E11DFE"/>
    <w:rsid w:val="00E136A7"/>
    <w:rsid w:val="00E146A5"/>
    <w:rsid w:val="00E1564E"/>
    <w:rsid w:val="00E247C9"/>
    <w:rsid w:val="00E25D95"/>
    <w:rsid w:val="00E27B8F"/>
    <w:rsid w:val="00E32E2E"/>
    <w:rsid w:val="00E3435C"/>
    <w:rsid w:val="00E35C04"/>
    <w:rsid w:val="00E431CF"/>
    <w:rsid w:val="00E47100"/>
    <w:rsid w:val="00E50E6D"/>
    <w:rsid w:val="00E540DA"/>
    <w:rsid w:val="00E5430D"/>
    <w:rsid w:val="00E57633"/>
    <w:rsid w:val="00E644FD"/>
    <w:rsid w:val="00E65C17"/>
    <w:rsid w:val="00E6726E"/>
    <w:rsid w:val="00E67ABC"/>
    <w:rsid w:val="00E70A27"/>
    <w:rsid w:val="00E72319"/>
    <w:rsid w:val="00E72CBE"/>
    <w:rsid w:val="00E74378"/>
    <w:rsid w:val="00E76C67"/>
    <w:rsid w:val="00E7704C"/>
    <w:rsid w:val="00E801BC"/>
    <w:rsid w:val="00E811F3"/>
    <w:rsid w:val="00E81A20"/>
    <w:rsid w:val="00E81F6B"/>
    <w:rsid w:val="00E84AD7"/>
    <w:rsid w:val="00E851FB"/>
    <w:rsid w:val="00E86089"/>
    <w:rsid w:val="00E902EC"/>
    <w:rsid w:val="00E91B26"/>
    <w:rsid w:val="00E932DB"/>
    <w:rsid w:val="00EA00D0"/>
    <w:rsid w:val="00EA424F"/>
    <w:rsid w:val="00EA70C2"/>
    <w:rsid w:val="00EB14F7"/>
    <w:rsid w:val="00EB1650"/>
    <w:rsid w:val="00EB1BD3"/>
    <w:rsid w:val="00EB2768"/>
    <w:rsid w:val="00EB2EA1"/>
    <w:rsid w:val="00EB53E7"/>
    <w:rsid w:val="00EB65E2"/>
    <w:rsid w:val="00EC0EEB"/>
    <w:rsid w:val="00EC200E"/>
    <w:rsid w:val="00EC37F0"/>
    <w:rsid w:val="00EC4A7C"/>
    <w:rsid w:val="00EC59CE"/>
    <w:rsid w:val="00EC6980"/>
    <w:rsid w:val="00EC6ABA"/>
    <w:rsid w:val="00EC7ABA"/>
    <w:rsid w:val="00ED729D"/>
    <w:rsid w:val="00EE19B9"/>
    <w:rsid w:val="00EE4352"/>
    <w:rsid w:val="00EE59D5"/>
    <w:rsid w:val="00EE6E25"/>
    <w:rsid w:val="00EF0C39"/>
    <w:rsid w:val="00EF1AC8"/>
    <w:rsid w:val="00EF243B"/>
    <w:rsid w:val="00EF6B7E"/>
    <w:rsid w:val="00F00383"/>
    <w:rsid w:val="00F00DA1"/>
    <w:rsid w:val="00F02D31"/>
    <w:rsid w:val="00F033BF"/>
    <w:rsid w:val="00F042CD"/>
    <w:rsid w:val="00F048D0"/>
    <w:rsid w:val="00F05AA9"/>
    <w:rsid w:val="00F05AD4"/>
    <w:rsid w:val="00F07080"/>
    <w:rsid w:val="00F078B7"/>
    <w:rsid w:val="00F102EE"/>
    <w:rsid w:val="00F127B7"/>
    <w:rsid w:val="00F13D95"/>
    <w:rsid w:val="00F141BF"/>
    <w:rsid w:val="00F20E9C"/>
    <w:rsid w:val="00F20F8D"/>
    <w:rsid w:val="00F21F5A"/>
    <w:rsid w:val="00F225FE"/>
    <w:rsid w:val="00F22601"/>
    <w:rsid w:val="00F22E83"/>
    <w:rsid w:val="00F2309B"/>
    <w:rsid w:val="00F25C4B"/>
    <w:rsid w:val="00F31614"/>
    <w:rsid w:val="00F31CFF"/>
    <w:rsid w:val="00F3274F"/>
    <w:rsid w:val="00F36038"/>
    <w:rsid w:val="00F41256"/>
    <w:rsid w:val="00F5451B"/>
    <w:rsid w:val="00F575B0"/>
    <w:rsid w:val="00F60503"/>
    <w:rsid w:val="00F62A74"/>
    <w:rsid w:val="00F642F4"/>
    <w:rsid w:val="00F66ED0"/>
    <w:rsid w:val="00F71A91"/>
    <w:rsid w:val="00F723E2"/>
    <w:rsid w:val="00F75DB8"/>
    <w:rsid w:val="00F80F35"/>
    <w:rsid w:val="00F80F4E"/>
    <w:rsid w:val="00F81AFD"/>
    <w:rsid w:val="00F82845"/>
    <w:rsid w:val="00F83407"/>
    <w:rsid w:val="00F8783B"/>
    <w:rsid w:val="00F90013"/>
    <w:rsid w:val="00F907C9"/>
    <w:rsid w:val="00F914DA"/>
    <w:rsid w:val="00F92321"/>
    <w:rsid w:val="00F93921"/>
    <w:rsid w:val="00F94BD3"/>
    <w:rsid w:val="00F9550A"/>
    <w:rsid w:val="00F974B9"/>
    <w:rsid w:val="00F975EE"/>
    <w:rsid w:val="00FA0B0C"/>
    <w:rsid w:val="00FA17CD"/>
    <w:rsid w:val="00FA2427"/>
    <w:rsid w:val="00FA33E8"/>
    <w:rsid w:val="00FA3F11"/>
    <w:rsid w:val="00FA443F"/>
    <w:rsid w:val="00FA6D60"/>
    <w:rsid w:val="00FA7807"/>
    <w:rsid w:val="00FB0D26"/>
    <w:rsid w:val="00FB0FC4"/>
    <w:rsid w:val="00FB1100"/>
    <w:rsid w:val="00FC1DE2"/>
    <w:rsid w:val="00FC5AAB"/>
    <w:rsid w:val="00FC7FC0"/>
    <w:rsid w:val="00FD1C29"/>
    <w:rsid w:val="00FD6EAE"/>
    <w:rsid w:val="00FD7F13"/>
    <w:rsid w:val="00FE17D2"/>
    <w:rsid w:val="00FE19DF"/>
    <w:rsid w:val="00FE37BA"/>
    <w:rsid w:val="00FE3838"/>
    <w:rsid w:val="00FE400A"/>
    <w:rsid w:val="00FE4278"/>
    <w:rsid w:val="00FE43F4"/>
    <w:rsid w:val="00FE43F6"/>
    <w:rsid w:val="00FF1A8F"/>
    <w:rsid w:val="00FF4768"/>
    <w:rsid w:val="00FF4855"/>
    <w:rsid w:val="00FF4D49"/>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4DA5"/>
  <w15:docId w15:val="{3E1D1C32-EB41-4D8B-8CA7-8B73326C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10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44" w:lineRule="exact"/>
      <w:ind w:left="1780" w:hanging="360"/>
      <w:jc w:val="both"/>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C4652F"/>
    <w:pPr>
      <w:tabs>
        <w:tab w:val="center" w:pos="4513"/>
        <w:tab w:val="right" w:pos="9026"/>
      </w:tabs>
    </w:pPr>
  </w:style>
  <w:style w:type="character" w:customStyle="1" w:styleId="HeaderChar">
    <w:name w:val="Header Char"/>
    <w:basedOn w:val="DefaultParagraphFont"/>
    <w:link w:val="Header"/>
    <w:uiPriority w:val="99"/>
    <w:rsid w:val="00C4652F"/>
    <w:rPr>
      <w:rFonts w:ascii="Calibri" w:eastAsia="Calibri" w:hAnsi="Calibri" w:cs="Calibri"/>
      <w:lang w:val="en-GB" w:eastAsia="en-GB" w:bidi="en-GB"/>
    </w:rPr>
  </w:style>
  <w:style w:type="paragraph" w:styleId="Footer">
    <w:name w:val="footer"/>
    <w:basedOn w:val="Normal"/>
    <w:link w:val="FooterChar"/>
    <w:uiPriority w:val="99"/>
    <w:unhideWhenUsed/>
    <w:rsid w:val="00C4652F"/>
    <w:pPr>
      <w:tabs>
        <w:tab w:val="center" w:pos="4513"/>
        <w:tab w:val="right" w:pos="9026"/>
      </w:tabs>
    </w:pPr>
  </w:style>
  <w:style w:type="character" w:customStyle="1" w:styleId="FooterChar">
    <w:name w:val="Footer Char"/>
    <w:basedOn w:val="DefaultParagraphFont"/>
    <w:link w:val="Footer"/>
    <w:uiPriority w:val="99"/>
    <w:rsid w:val="00C4652F"/>
    <w:rPr>
      <w:rFonts w:ascii="Calibri" w:eastAsia="Calibri" w:hAnsi="Calibri" w:cs="Calibri"/>
      <w:lang w:val="en-GB" w:eastAsia="en-GB" w:bidi="en-GB"/>
    </w:rPr>
  </w:style>
  <w:style w:type="character" w:customStyle="1" w:styleId="Heading1Char">
    <w:name w:val="Heading 1 Char"/>
    <w:basedOn w:val="DefaultParagraphFont"/>
    <w:link w:val="Heading1"/>
    <w:uiPriority w:val="1"/>
    <w:rsid w:val="00605A5C"/>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605A5C"/>
    <w:rPr>
      <w:rFonts w:ascii="Calibri" w:eastAsia="Calibri" w:hAnsi="Calibri" w:cs="Calibri"/>
      <w:lang w:val="en-GB" w:eastAsia="en-GB" w:bidi="en-GB"/>
    </w:rPr>
  </w:style>
  <w:style w:type="paragraph" w:customStyle="1" w:styleId="cc">
    <w:name w:val="cc"/>
    <w:basedOn w:val="Normal"/>
    <w:rsid w:val="00605A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d">
    <w:name w:val="cd"/>
    <w:basedOn w:val="DefaultParagraphFont"/>
    <w:rsid w:val="00605A5C"/>
  </w:style>
  <w:style w:type="paragraph" w:customStyle="1" w:styleId="qy">
    <w:name w:val="qy"/>
    <w:basedOn w:val="Normal"/>
    <w:rsid w:val="00605A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qp">
    <w:name w:val="qp"/>
    <w:basedOn w:val="DefaultParagraphFont"/>
    <w:rsid w:val="00605A5C"/>
  </w:style>
  <w:style w:type="table" w:styleId="TableGrid">
    <w:name w:val="Table Grid"/>
    <w:basedOn w:val="TableNormal"/>
    <w:uiPriority w:val="39"/>
    <w:rsid w:val="00605A5C"/>
    <w:pPr>
      <w:widowControl/>
      <w:autoSpaceDE/>
      <w:autoSpaceDN/>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
    <w:name w:val="cx"/>
    <w:basedOn w:val="Normal"/>
    <w:rsid w:val="00605A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j">
    <w:name w:val="cj"/>
    <w:basedOn w:val="DefaultParagraphFont"/>
    <w:rsid w:val="00605A5C"/>
  </w:style>
  <w:style w:type="paragraph" w:customStyle="1" w:styleId="df">
    <w:name w:val="df"/>
    <w:basedOn w:val="Normal"/>
    <w:rsid w:val="00605A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
    <w:name w:val="eo"/>
    <w:basedOn w:val="DefaultParagraphFont"/>
    <w:rsid w:val="00605A5C"/>
  </w:style>
  <w:style w:type="character" w:customStyle="1" w:styleId="ep">
    <w:name w:val="ep"/>
    <w:basedOn w:val="DefaultParagraphFont"/>
    <w:rsid w:val="00605A5C"/>
  </w:style>
  <w:style w:type="character" w:customStyle="1" w:styleId="cf">
    <w:name w:val="cf"/>
    <w:basedOn w:val="DefaultParagraphFont"/>
    <w:rsid w:val="00605A5C"/>
  </w:style>
  <w:style w:type="character" w:customStyle="1" w:styleId="cp">
    <w:name w:val="cp"/>
    <w:basedOn w:val="DefaultParagraphFont"/>
    <w:rsid w:val="00605A5C"/>
  </w:style>
  <w:style w:type="paragraph" w:customStyle="1" w:styleId="bo">
    <w:name w:val="bo"/>
    <w:basedOn w:val="Normal"/>
    <w:rsid w:val="001835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q">
    <w:name w:val="aq"/>
    <w:basedOn w:val="DefaultParagraphFont"/>
    <w:rsid w:val="001835D5"/>
  </w:style>
  <w:style w:type="character" w:styleId="CommentReference">
    <w:name w:val="annotation reference"/>
    <w:basedOn w:val="DefaultParagraphFont"/>
    <w:uiPriority w:val="99"/>
    <w:semiHidden/>
    <w:unhideWhenUsed/>
    <w:rsid w:val="007E43AD"/>
    <w:rPr>
      <w:sz w:val="16"/>
      <w:szCs w:val="16"/>
    </w:rPr>
  </w:style>
  <w:style w:type="paragraph" w:styleId="CommentText">
    <w:name w:val="annotation text"/>
    <w:basedOn w:val="Normal"/>
    <w:link w:val="CommentTextChar"/>
    <w:uiPriority w:val="99"/>
    <w:unhideWhenUsed/>
    <w:rsid w:val="007E43AD"/>
    <w:rPr>
      <w:sz w:val="20"/>
      <w:szCs w:val="20"/>
    </w:rPr>
  </w:style>
  <w:style w:type="character" w:customStyle="1" w:styleId="CommentTextChar">
    <w:name w:val="Comment Text Char"/>
    <w:basedOn w:val="DefaultParagraphFont"/>
    <w:link w:val="CommentText"/>
    <w:uiPriority w:val="99"/>
    <w:rsid w:val="007E43AD"/>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E43AD"/>
    <w:rPr>
      <w:b/>
      <w:bCs/>
    </w:rPr>
  </w:style>
  <w:style w:type="character" w:customStyle="1" w:styleId="CommentSubjectChar">
    <w:name w:val="Comment Subject Char"/>
    <w:basedOn w:val="CommentTextChar"/>
    <w:link w:val="CommentSubject"/>
    <w:uiPriority w:val="99"/>
    <w:semiHidden/>
    <w:rsid w:val="007E43AD"/>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7E4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AD"/>
    <w:rPr>
      <w:rFonts w:ascii="Segoe UI" w:eastAsia="Calibri" w:hAnsi="Segoe UI" w:cs="Segoe UI"/>
      <w:sz w:val="18"/>
      <w:szCs w:val="18"/>
      <w:lang w:val="en-GB" w:eastAsia="en-GB" w:bidi="en-GB"/>
    </w:rPr>
  </w:style>
  <w:style w:type="paragraph" w:customStyle="1" w:styleId="Default">
    <w:name w:val="Default"/>
    <w:rsid w:val="00EC37F0"/>
    <w:pPr>
      <w:widowControl/>
      <w:adjustRightInd w:val="0"/>
    </w:pPr>
    <w:rPr>
      <w:rFonts w:ascii="Calibri" w:eastAsia="Times New Roman" w:hAnsi="Calibri" w:cs="Calibri"/>
      <w:color w:val="000000"/>
      <w:sz w:val="24"/>
      <w:szCs w:val="24"/>
      <w:lang w:val="en-GB" w:eastAsia="en-GB"/>
    </w:rPr>
  </w:style>
  <w:style w:type="paragraph" w:customStyle="1" w:styleId="ga">
    <w:name w:val="ga"/>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s">
    <w:name w:val="fs"/>
    <w:basedOn w:val="DefaultParagraphFont"/>
    <w:rsid w:val="00600B17"/>
  </w:style>
  <w:style w:type="paragraph" w:customStyle="1" w:styleId="gh">
    <w:name w:val="gh"/>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gi">
    <w:name w:val="gi"/>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k">
    <w:name w:val="fk"/>
    <w:basedOn w:val="DefaultParagraphFont"/>
    <w:rsid w:val="00600B17"/>
  </w:style>
  <w:style w:type="character" w:customStyle="1" w:styleId="fi">
    <w:name w:val="fi"/>
    <w:basedOn w:val="DefaultParagraphFont"/>
    <w:rsid w:val="00600B17"/>
  </w:style>
  <w:style w:type="character" w:customStyle="1" w:styleId="fj">
    <w:name w:val="fj"/>
    <w:basedOn w:val="DefaultParagraphFont"/>
    <w:rsid w:val="00600B17"/>
  </w:style>
  <w:style w:type="paragraph" w:customStyle="1" w:styleId="gj">
    <w:name w:val="gj"/>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g">
    <w:name w:val="fg"/>
    <w:basedOn w:val="DefaultParagraphFont"/>
    <w:rsid w:val="00600B17"/>
  </w:style>
  <w:style w:type="paragraph" w:customStyle="1" w:styleId="gk">
    <w:name w:val="gk"/>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e">
    <w:name w:val="fe"/>
    <w:basedOn w:val="DefaultParagraphFont"/>
    <w:rsid w:val="00600B17"/>
  </w:style>
  <w:style w:type="character" w:customStyle="1" w:styleId="fd">
    <w:name w:val="fd"/>
    <w:basedOn w:val="DefaultParagraphFont"/>
    <w:rsid w:val="00600B17"/>
  </w:style>
  <w:style w:type="character" w:customStyle="1" w:styleId="fo">
    <w:name w:val="fo"/>
    <w:basedOn w:val="DefaultParagraphFont"/>
    <w:rsid w:val="00600B17"/>
  </w:style>
  <w:style w:type="paragraph" w:customStyle="1" w:styleId="gl">
    <w:name w:val="gl"/>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b">
    <w:name w:val="fb"/>
    <w:basedOn w:val="DefaultParagraphFont"/>
    <w:rsid w:val="00600B17"/>
  </w:style>
  <w:style w:type="paragraph" w:customStyle="1" w:styleId="gm">
    <w:name w:val="gm"/>
    <w:basedOn w:val="Normal"/>
    <w:rsid w:val="00600B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z">
    <w:name w:val="ez"/>
    <w:basedOn w:val="DefaultParagraphFont"/>
    <w:rsid w:val="00600B17"/>
  </w:style>
  <w:style w:type="character" w:customStyle="1" w:styleId="ey">
    <w:name w:val="ey"/>
    <w:basedOn w:val="DefaultParagraphFont"/>
    <w:rsid w:val="00600B17"/>
  </w:style>
  <w:style w:type="paragraph" w:styleId="NoSpacing">
    <w:name w:val="No Spacing"/>
    <w:uiPriority w:val="1"/>
    <w:qFormat/>
    <w:rsid w:val="00487256"/>
    <w:pPr>
      <w:widowControl/>
      <w:autoSpaceDE/>
      <w:autoSpaceDN/>
    </w:pPr>
    <w:rPr>
      <w:lang w:val="en-GB"/>
    </w:rPr>
  </w:style>
  <w:style w:type="character" w:customStyle="1" w:styleId="bj">
    <w:name w:val="bj"/>
    <w:basedOn w:val="DefaultParagraphFont"/>
    <w:rsid w:val="006F6E9D"/>
  </w:style>
  <w:style w:type="character" w:customStyle="1" w:styleId="bi">
    <w:name w:val="bi"/>
    <w:basedOn w:val="DefaultParagraphFont"/>
    <w:rsid w:val="006F6E9D"/>
  </w:style>
  <w:style w:type="character" w:customStyle="1" w:styleId="bm">
    <w:name w:val="bm"/>
    <w:basedOn w:val="DefaultParagraphFont"/>
    <w:rsid w:val="006F6E9D"/>
  </w:style>
  <w:style w:type="character" w:styleId="Hyperlink">
    <w:name w:val="Hyperlink"/>
    <w:basedOn w:val="DefaultParagraphFont"/>
    <w:uiPriority w:val="99"/>
    <w:unhideWhenUsed/>
    <w:rsid w:val="0073170B"/>
    <w:rPr>
      <w:color w:val="0000FF" w:themeColor="hyperlink"/>
      <w:u w:val="single"/>
    </w:rPr>
  </w:style>
  <w:style w:type="character" w:styleId="UnresolvedMention">
    <w:name w:val="Unresolved Mention"/>
    <w:basedOn w:val="DefaultParagraphFont"/>
    <w:uiPriority w:val="99"/>
    <w:semiHidden/>
    <w:unhideWhenUsed/>
    <w:rsid w:val="0073170B"/>
    <w:rPr>
      <w:color w:val="605E5C"/>
      <w:shd w:val="clear" w:color="auto" w:fill="E1DFDD"/>
    </w:rPr>
  </w:style>
  <w:style w:type="paragraph" w:styleId="Revision">
    <w:name w:val="Revision"/>
    <w:hidden/>
    <w:uiPriority w:val="99"/>
    <w:semiHidden/>
    <w:rsid w:val="00407C38"/>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0445">
      <w:bodyDiv w:val="1"/>
      <w:marLeft w:val="0"/>
      <w:marRight w:val="0"/>
      <w:marTop w:val="0"/>
      <w:marBottom w:val="0"/>
      <w:divBdr>
        <w:top w:val="none" w:sz="0" w:space="0" w:color="auto"/>
        <w:left w:val="none" w:sz="0" w:space="0" w:color="auto"/>
        <w:bottom w:val="none" w:sz="0" w:space="0" w:color="auto"/>
        <w:right w:val="none" w:sz="0" w:space="0" w:color="auto"/>
      </w:divBdr>
    </w:div>
    <w:div w:id="195195545">
      <w:bodyDiv w:val="1"/>
      <w:marLeft w:val="0"/>
      <w:marRight w:val="0"/>
      <w:marTop w:val="0"/>
      <w:marBottom w:val="0"/>
      <w:divBdr>
        <w:top w:val="none" w:sz="0" w:space="0" w:color="auto"/>
        <w:left w:val="none" w:sz="0" w:space="0" w:color="auto"/>
        <w:bottom w:val="none" w:sz="0" w:space="0" w:color="auto"/>
        <w:right w:val="none" w:sz="0" w:space="0" w:color="auto"/>
      </w:divBdr>
    </w:div>
    <w:div w:id="207188047">
      <w:bodyDiv w:val="1"/>
      <w:marLeft w:val="0"/>
      <w:marRight w:val="0"/>
      <w:marTop w:val="0"/>
      <w:marBottom w:val="0"/>
      <w:divBdr>
        <w:top w:val="none" w:sz="0" w:space="0" w:color="auto"/>
        <w:left w:val="none" w:sz="0" w:space="0" w:color="auto"/>
        <w:bottom w:val="none" w:sz="0" w:space="0" w:color="auto"/>
        <w:right w:val="none" w:sz="0" w:space="0" w:color="auto"/>
      </w:divBdr>
    </w:div>
    <w:div w:id="293869975">
      <w:bodyDiv w:val="1"/>
      <w:marLeft w:val="0"/>
      <w:marRight w:val="0"/>
      <w:marTop w:val="0"/>
      <w:marBottom w:val="0"/>
      <w:divBdr>
        <w:top w:val="none" w:sz="0" w:space="0" w:color="auto"/>
        <w:left w:val="none" w:sz="0" w:space="0" w:color="auto"/>
        <w:bottom w:val="none" w:sz="0" w:space="0" w:color="auto"/>
        <w:right w:val="none" w:sz="0" w:space="0" w:color="auto"/>
      </w:divBdr>
    </w:div>
    <w:div w:id="334265656">
      <w:bodyDiv w:val="1"/>
      <w:marLeft w:val="0"/>
      <w:marRight w:val="0"/>
      <w:marTop w:val="0"/>
      <w:marBottom w:val="0"/>
      <w:divBdr>
        <w:top w:val="none" w:sz="0" w:space="0" w:color="auto"/>
        <w:left w:val="none" w:sz="0" w:space="0" w:color="auto"/>
        <w:bottom w:val="none" w:sz="0" w:space="0" w:color="auto"/>
        <w:right w:val="none" w:sz="0" w:space="0" w:color="auto"/>
      </w:divBdr>
    </w:div>
    <w:div w:id="378163292">
      <w:bodyDiv w:val="1"/>
      <w:marLeft w:val="0"/>
      <w:marRight w:val="0"/>
      <w:marTop w:val="0"/>
      <w:marBottom w:val="0"/>
      <w:divBdr>
        <w:top w:val="none" w:sz="0" w:space="0" w:color="auto"/>
        <w:left w:val="none" w:sz="0" w:space="0" w:color="auto"/>
        <w:bottom w:val="none" w:sz="0" w:space="0" w:color="auto"/>
        <w:right w:val="none" w:sz="0" w:space="0" w:color="auto"/>
      </w:divBdr>
    </w:div>
    <w:div w:id="425809831">
      <w:bodyDiv w:val="1"/>
      <w:marLeft w:val="0"/>
      <w:marRight w:val="0"/>
      <w:marTop w:val="0"/>
      <w:marBottom w:val="0"/>
      <w:divBdr>
        <w:top w:val="none" w:sz="0" w:space="0" w:color="auto"/>
        <w:left w:val="none" w:sz="0" w:space="0" w:color="auto"/>
        <w:bottom w:val="none" w:sz="0" w:space="0" w:color="auto"/>
        <w:right w:val="none" w:sz="0" w:space="0" w:color="auto"/>
      </w:divBdr>
    </w:div>
    <w:div w:id="456875198">
      <w:bodyDiv w:val="1"/>
      <w:marLeft w:val="0"/>
      <w:marRight w:val="0"/>
      <w:marTop w:val="0"/>
      <w:marBottom w:val="0"/>
      <w:divBdr>
        <w:top w:val="none" w:sz="0" w:space="0" w:color="auto"/>
        <w:left w:val="none" w:sz="0" w:space="0" w:color="auto"/>
        <w:bottom w:val="none" w:sz="0" w:space="0" w:color="auto"/>
        <w:right w:val="none" w:sz="0" w:space="0" w:color="auto"/>
      </w:divBdr>
    </w:div>
    <w:div w:id="488983952">
      <w:bodyDiv w:val="1"/>
      <w:marLeft w:val="0"/>
      <w:marRight w:val="0"/>
      <w:marTop w:val="0"/>
      <w:marBottom w:val="0"/>
      <w:divBdr>
        <w:top w:val="none" w:sz="0" w:space="0" w:color="auto"/>
        <w:left w:val="none" w:sz="0" w:space="0" w:color="auto"/>
        <w:bottom w:val="none" w:sz="0" w:space="0" w:color="auto"/>
        <w:right w:val="none" w:sz="0" w:space="0" w:color="auto"/>
      </w:divBdr>
    </w:div>
    <w:div w:id="530536267">
      <w:bodyDiv w:val="1"/>
      <w:marLeft w:val="0"/>
      <w:marRight w:val="0"/>
      <w:marTop w:val="0"/>
      <w:marBottom w:val="0"/>
      <w:divBdr>
        <w:top w:val="none" w:sz="0" w:space="0" w:color="auto"/>
        <w:left w:val="none" w:sz="0" w:space="0" w:color="auto"/>
        <w:bottom w:val="none" w:sz="0" w:space="0" w:color="auto"/>
        <w:right w:val="none" w:sz="0" w:space="0" w:color="auto"/>
      </w:divBdr>
    </w:div>
    <w:div w:id="535046182">
      <w:bodyDiv w:val="1"/>
      <w:marLeft w:val="0"/>
      <w:marRight w:val="0"/>
      <w:marTop w:val="0"/>
      <w:marBottom w:val="0"/>
      <w:divBdr>
        <w:top w:val="none" w:sz="0" w:space="0" w:color="auto"/>
        <w:left w:val="none" w:sz="0" w:space="0" w:color="auto"/>
        <w:bottom w:val="none" w:sz="0" w:space="0" w:color="auto"/>
        <w:right w:val="none" w:sz="0" w:space="0" w:color="auto"/>
      </w:divBdr>
    </w:div>
    <w:div w:id="588317736">
      <w:bodyDiv w:val="1"/>
      <w:marLeft w:val="0"/>
      <w:marRight w:val="0"/>
      <w:marTop w:val="0"/>
      <w:marBottom w:val="0"/>
      <w:divBdr>
        <w:top w:val="none" w:sz="0" w:space="0" w:color="auto"/>
        <w:left w:val="none" w:sz="0" w:space="0" w:color="auto"/>
        <w:bottom w:val="none" w:sz="0" w:space="0" w:color="auto"/>
        <w:right w:val="none" w:sz="0" w:space="0" w:color="auto"/>
      </w:divBdr>
    </w:div>
    <w:div w:id="588931854">
      <w:bodyDiv w:val="1"/>
      <w:marLeft w:val="0"/>
      <w:marRight w:val="0"/>
      <w:marTop w:val="0"/>
      <w:marBottom w:val="0"/>
      <w:divBdr>
        <w:top w:val="none" w:sz="0" w:space="0" w:color="auto"/>
        <w:left w:val="none" w:sz="0" w:space="0" w:color="auto"/>
        <w:bottom w:val="none" w:sz="0" w:space="0" w:color="auto"/>
        <w:right w:val="none" w:sz="0" w:space="0" w:color="auto"/>
      </w:divBdr>
    </w:div>
    <w:div w:id="634070291">
      <w:bodyDiv w:val="1"/>
      <w:marLeft w:val="0"/>
      <w:marRight w:val="0"/>
      <w:marTop w:val="0"/>
      <w:marBottom w:val="0"/>
      <w:divBdr>
        <w:top w:val="none" w:sz="0" w:space="0" w:color="auto"/>
        <w:left w:val="none" w:sz="0" w:space="0" w:color="auto"/>
        <w:bottom w:val="none" w:sz="0" w:space="0" w:color="auto"/>
        <w:right w:val="none" w:sz="0" w:space="0" w:color="auto"/>
      </w:divBdr>
    </w:div>
    <w:div w:id="673192370">
      <w:bodyDiv w:val="1"/>
      <w:marLeft w:val="0"/>
      <w:marRight w:val="0"/>
      <w:marTop w:val="0"/>
      <w:marBottom w:val="0"/>
      <w:divBdr>
        <w:top w:val="none" w:sz="0" w:space="0" w:color="auto"/>
        <w:left w:val="none" w:sz="0" w:space="0" w:color="auto"/>
        <w:bottom w:val="none" w:sz="0" w:space="0" w:color="auto"/>
        <w:right w:val="none" w:sz="0" w:space="0" w:color="auto"/>
      </w:divBdr>
    </w:div>
    <w:div w:id="709916537">
      <w:bodyDiv w:val="1"/>
      <w:marLeft w:val="0"/>
      <w:marRight w:val="0"/>
      <w:marTop w:val="0"/>
      <w:marBottom w:val="0"/>
      <w:divBdr>
        <w:top w:val="none" w:sz="0" w:space="0" w:color="auto"/>
        <w:left w:val="none" w:sz="0" w:space="0" w:color="auto"/>
        <w:bottom w:val="none" w:sz="0" w:space="0" w:color="auto"/>
        <w:right w:val="none" w:sz="0" w:space="0" w:color="auto"/>
      </w:divBdr>
    </w:div>
    <w:div w:id="764695492">
      <w:bodyDiv w:val="1"/>
      <w:marLeft w:val="0"/>
      <w:marRight w:val="0"/>
      <w:marTop w:val="0"/>
      <w:marBottom w:val="0"/>
      <w:divBdr>
        <w:top w:val="none" w:sz="0" w:space="0" w:color="auto"/>
        <w:left w:val="none" w:sz="0" w:space="0" w:color="auto"/>
        <w:bottom w:val="none" w:sz="0" w:space="0" w:color="auto"/>
        <w:right w:val="none" w:sz="0" w:space="0" w:color="auto"/>
      </w:divBdr>
    </w:div>
    <w:div w:id="803695906">
      <w:bodyDiv w:val="1"/>
      <w:marLeft w:val="0"/>
      <w:marRight w:val="0"/>
      <w:marTop w:val="0"/>
      <w:marBottom w:val="0"/>
      <w:divBdr>
        <w:top w:val="none" w:sz="0" w:space="0" w:color="auto"/>
        <w:left w:val="none" w:sz="0" w:space="0" w:color="auto"/>
        <w:bottom w:val="none" w:sz="0" w:space="0" w:color="auto"/>
        <w:right w:val="none" w:sz="0" w:space="0" w:color="auto"/>
      </w:divBdr>
    </w:div>
    <w:div w:id="824584842">
      <w:bodyDiv w:val="1"/>
      <w:marLeft w:val="0"/>
      <w:marRight w:val="0"/>
      <w:marTop w:val="0"/>
      <w:marBottom w:val="0"/>
      <w:divBdr>
        <w:top w:val="none" w:sz="0" w:space="0" w:color="auto"/>
        <w:left w:val="none" w:sz="0" w:space="0" w:color="auto"/>
        <w:bottom w:val="none" w:sz="0" w:space="0" w:color="auto"/>
        <w:right w:val="none" w:sz="0" w:space="0" w:color="auto"/>
      </w:divBdr>
    </w:div>
    <w:div w:id="837768010">
      <w:bodyDiv w:val="1"/>
      <w:marLeft w:val="0"/>
      <w:marRight w:val="0"/>
      <w:marTop w:val="0"/>
      <w:marBottom w:val="0"/>
      <w:divBdr>
        <w:top w:val="none" w:sz="0" w:space="0" w:color="auto"/>
        <w:left w:val="none" w:sz="0" w:space="0" w:color="auto"/>
        <w:bottom w:val="none" w:sz="0" w:space="0" w:color="auto"/>
        <w:right w:val="none" w:sz="0" w:space="0" w:color="auto"/>
      </w:divBdr>
    </w:div>
    <w:div w:id="884953224">
      <w:bodyDiv w:val="1"/>
      <w:marLeft w:val="0"/>
      <w:marRight w:val="0"/>
      <w:marTop w:val="0"/>
      <w:marBottom w:val="0"/>
      <w:divBdr>
        <w:top w:val="none" w:sz="0" w:space="0" w:color="auto"/>
        <w:left w:val="none" w:sz="0" w:space="0" w:color="auto"/>
        <w:bottom w:val="none" w:sz="0" w:space="0" w:color="auto"/>
        <w:right w:val="none" w:sz="0" w:space="0" w:color="auto"/>
      </w:divBdr>
    </w:div>
    <w:div w:id="906841503">
      <w:bodyDiv w:val="1"/>
      <w:marLeft w:val="0"/>
      <w:marRight w:val="0"/>
      <w:marTop w:val="0"/>
      <w:marBottom w:val="0"/>
      <w:divBdr>
        <w:top w:val="none" w:sz="0" w:space="0" w:color="auto"/>
        <w:left w:val="none" w:sz="0" w:space="0" w:color="auto"/>
        <w:bottom w:val="none" w:sz="0" w:space="0" w:color="auto"/>
        <w:right w:val="none" w:sz="0" w:space="0" w:color="auto"/>
      </w:divBdr>
    </w:div>
    <w:div w:id="959799014">
      <w:bodyDiv w:val="1"/>
      <w:marLeft w:val="0"/>
      <w:marRight w:val="0"/>
      <w:marTop w:val="0"/>
      <w:marBottom w:val="0"/>
      <w:divBdr>
        <w:top w:val="none" w:sz="0" w:space="0" w:color="auto"/>
        <w:left w:val="none" w:sz="0" w:space="0" w:color="auto"/>
        <w:bottom w:val="none" w:sz="0" w:space="0" w:color="auto"/>
        <w:right w:val="none" w:sz="0" w:space="0" w:color="auto"/>
      </w:divBdr>
    </w:div>
    <w:div w:id="970674642">
      <w:bodyDiv w:val="1"/>
      <w:marLeft w:val="0"/>
      <w:marRight w:val="0"/>
      <w:marTop w:val="0"/>
      <w:marBottom w:val="0"/>
      <w:divBdr>
        <w:top w:val="none" w:sz="0" w:space="0" w:color="auto"/>
        <w:left w:val="none" w:sz="0" w:space="0" w:color="auto"/>
        <w:bottom w:val="none" w:sz="0" w:space="0" w:color="auto"/>
        <w:right w:val="none" w:sz="0" w:space="0" w:color="auto"/>
      </w:divBdr>
    </w:div>
    <w:div w:id="1084649588">
      <w:bodyDiv w:val="1"/>
      <w:marLeft w:val="0"/>
      <w:marRight w:val="0"/>
      <w:marTop w:val="0"/>
      <w:marBottom w:val="0"/>
      <w:divBdr>
        <w:top w:val="none" w:sz="0" w:space="0" w:color="auto"/>
        <w:left w:val="none" w:sz="0" w:space="0" w:color="auto"/>
        <w:bottom w:val="none" w:sz="0" w:space="0" w:color="auto"/>
        <w:right w:val="none" w:sz="0" w:space="0" w:color="auto"/>
      </w:divBdr>
    </w:div>
    <w:div w:id="1110317221">
      <w:bodyDiv w:val="1"/>
      <w:marLeft w:val="0"/>
      <w:marRight w:val="0"/>
      <w:marTop w:val="0"/>
      <w:marBottom w:val="0"/>
      <w:divBdr>
        <w:top w:val="none" w:sz="0" w:space="0" w:color="auto"/>
        <w:left w:val="none" w:sz="0" w:space="0" w:color="auto"/>
        <w:bottom w:val="none" w:sz="0" w:space="0" w:color="auto"/>
        <w:right w:val="none" w:sz="0" w:space="0" w:color="auto"/>
      </w:divBdr>
    </w:div>
    <w:div w:id="1132744314">
      <w:bodyDiv w:val="1"/>
      <w:marLeft w:val="0"/>
      <w:marRight w:val="0"/>
      <w:marTop w:val="0"/>
      <w:marBottom w:val="0"/>
      <w:divBdr>
        <w:top w:val="none" w:sz="0" w:space="0" w:color="auto"/>
        <w:left w:val="none" w:sz="0" w:space="0" w:color="auto"/>
        <w:bottom w:val="none" w:sz="0" w:space="0" w:color="auto"/>
        <w:right w:val="none" w:sz="0" w:space="0" w:color="auto"/>
      </w:divBdr>
    </w:div>
    <w:div w:id="1159080399">
      <w:bodyDiv w:val="1"/>
      <w:marLeft w:val="0"/>
      <w:marRight w:val="0"/>
      <w:marTop w:val="0"/>
      <w:marBottom w:val="0"/>
      <w:divBdr>
        <w:top w:val="none" w:sz="0" w:space="0" w:color="auto"/>
        <w:left w:val="none" w:sz="0" w:space="0" w:color="auto"/>
        <w:bottom w:val="none" w:sz="0" w:space="0" w:color="auto"/>
        <w:right w:val="none" w:sz="0" w:space="0" w:color="auto"/>
      </w:divBdr>
    </w:div>
    <w:div w:id="1202860384">
      <w:bodyDiv w:val="1"/>
      <w:marLeft w:val="0"/>
      <w:marRight w:val="0"/>
      <w:marTop w:val="0"/>
      <w:marBottom w:val="0"/>
      <w:divBdr>
        <w:top w:val="none" w:sz="0" w:space="0" w:color="auto"/>
        <w:left w:val="none" w:sz="0" w:space="0" w:color="auto"/>
        <w:bottom w:val="none" w:sz="0" w:space="0" w:color="auto"/>
        <w:right w:val="none" w:sz="0" w:space="0" w:color="auto"/>
      </w:divBdr>
    </w:div>
    <w:div w:id="1231774414">
      <w:bodyDiv w:val="1"/>
      <w:marLeft w:val="0"/>
      <w:marRight w:val="0"/>
      <w:marTop w:val="0"/>
      <w:marBottom w:val="0"/>
      <w:divBdr>
        <w:top w:val="none" w:sz="0" w:space="0" w:color="auto"/>
        <w:left w:val="none" w:sz="0" w:space="0" w:color="auto"/>
        <w:bottom w:val="none" w:sz="0" w:space="0" w:color="auto"/>
        <w:right w:val="none" w:sz="0" w:space="0" w:color="auto"/>
      </w:divBdr>
    </w:div>
    <w:div w:id="1248419792">
      <w:bodyDiv w:val="1"/>
      <w:marLeft w:val="0"/>
      <w:marRight w:val="0"/>
      <w:marTop w:val="0"/>
      <w:marBottom w:val="0"/>
      <w:divBdr>
        <w:top w:val="none" w:sz="0" w:space="0" w:color="auto"/>
        <w:left w:val="none" w:sz="0" w:space="0" w:color="auto"/>
        <w:bottom w:val="none" w:sz="0" w:space="0" w:color="auto"/>
        <w:right w:val="none" w:sz="0" w:space="0" w:color="auto"/>
      </w:divBdr>
    </w:div>
    <w:div w:id="1291520112">
      <w:bodyDiv w:val="1"/>
      <w:marLeft w:val="0"/>
      <w:marRight w:val="0"/>
      <w:marTop w:val="0"/>
      <w:marBottom w:val="0"/>
      <w:divBdr>
        <w:top w:val="none" w:sz="0" w:space="0" w:color="auto"/>
        <w:left w:val="none" w:sz="0" w:space="0" w:color="auto"/>
        <w:bottom w:val="none" w:sz="0" w:space="0" w:color="auto"/>
        <w:right w:val="none" w:sz="0" w:space="0" w:color="auto"/>
      </w:divBdr>
    </w:div>
    <w:div w:id="1304313314">
      <w:bodyDiv w:val="1"/>
      <w:marLeft w:val="0"/>
      <w:marRight w:val="0"/>
      <w:marTop w:val="0"/>
      <w:marBottom w:val="0"/>
      <w:divBdr>
        <w:top w:val="none" w:sz="0" w:space="0" w:color="auto"/>
        <w:left w:val="none" w:sz="0" w:space="0" w:color="auto"/>
        <w:bottom w:val="none" w:sz="0" w:space="0" w:color="auto"/>
        <w:right w:val="none" w:sz="0" w:space="0" w:color="auto"/>
      </w:divBdr>
    </w:div>
    <w:div w:id="1319114836">
      <w:bodyDiv w:val="1"/>
      <w:marLeft w:val="0"/>
      <w:marRight w:val="0"/>
      <w:marTop w:val="0"/>
      <w:marBottom w:val="0"/>
      <w:divBdr>
        <w:top w:val="none" w:sz="0" w:space="0" w:color="auto"/>
        <w:left w:val="none" w:sz="0" w:space="0" w:color="auto"/>
        <w:bottom w:val="none" w:sz="0" w:space="0" w:color="auto"/>
        <w:right w:val="none" w:sz="0" w:space="0" w:color="auto"/>
      </w:divBdr>
    </w:div>
    <w:div w:id="1345863229">
      <w:bodyDiv w:val="1"/>
      <w:marLeft w:val="0"/>
      <w:marRight w:val="0"/>
      <w:marTop w:val="0"/>
      <w:marBottom w:val="0"/>
      <w:divBdr>
        <w:top w:val="none" w:sz="0" w:space="0" w:color="auto"/>
        <w:left w:val="none" w:sz="0" w:space="0" w:color="auto"/>
        <w:bottom w:val="none" w:sz="0" w:space="0" w:color="auto"/>
        <w:right w:val="none" w:sz="0" w:space="0" w:color="auto"/>
      </w:divBdr>
    </w:div>
    <w:div w:id="1399549724">
      <w:bodyDiv w:val="1"/>
      <w:marLeft w:val="0"/>
      <w:marRight w:val="0"/>
      <w:marTop w:val="0"/>
      <w:marBottom w:val="0"/>
      <w:divBdr>
        <w:top w:val="none" w:sz="0" w:space="0" w:color="auto"/>
        <w:left w:val="none" w:sz="0" w:space="0" w:color="auto"/>
        <w:bottom w:val="none" w:sz="0" w:space="0" w:color="auto"/>
        <w:right w:val="none" w:sz="0" w:space="0" w:color="auto"/>
      </w:divBdr>
    </w:div>
    <w:div w:id="1403521965">
      <w:bodyDiv w:val="1"/>
      <w:marLeft w:val="0"/>
      <w:marRight w:val="0"/>
      <w:marTop w:val="0"/>
      <w:marBottom w:val="0"/>
      <w:divBdr>
        <w:top w:val="none" w:sz="0" w:space="0" w:color="auto"/>
        <w:left w:val="none" w:sz="0" w:space="0" w:color="auto"/>
        <w:bottom w:val="none" w:sz="0" w:space="0" w:color="auto"/>
        <w:right w:val="none" w:sz="0" w:space="0" w:color="auto"/>
      </w:divBdr>
    </w:div>
    <w:div w:id="1430197547">
      <w:bodyDiv w:val="1"/>
      <w:marLeft w:val="0"/>
      <w:marRight w:val="0"/>
      <w:marTop w:val="0"/>
      <w:marBottom w:val="0"/>
      <w:divBdr>
        <w:top w:val="none" w:sz="0" w:space="0" w:color="auto"/>
        <w:left w:val="none" w:sz="0" w:space="0" w:color="auto"/>
        <w:bottom w:val="none" w:sz="0" w:space="0" w:color="auto"/>
        <w:right w:val="none" w:sz="0" w:space="0" w:color="auto"/>
      </w:divBdr>
    </w:div>
    <w:div w:id="1442995266">
      <w:bodyDiv w:val="1"/>
      <w:marLeft w:val="0"/>
      <w:marRight w:val="0"/>
      <w:marTop w:val="0"/>
      <w:marBottom w:val="0"/>
      <w:divBdr>
        <w:top w:val="none" w:sz="0" w:space="0" w:color="auto"/>
        <w:left w:val="none" w:sz="0" w:space="0" w:color="auto"/>
        <w:bottom w:val="none" w:sz="0" w:space="0" w:color="auto"/>
        <w:right w:val="none" w:sz="0" w:space="0" w:color="auto"/>
      </w:divBdr>
    </w:div>
    <w:div w:id="1486581859">
      <w:bodyDiv w:val="1"/>
      <w:marLeft w:val="0"/>
      <w:marRight w:val="0"/>
      <w:marTop w:val="0"/>
      <w:marBottom w:val="0"/>
      <w:divBdr>
        <w:top w:val="none" w:sz="0" w:space="0" w:color="auto"/>
        <w:left w:val="none" w:sz="0" w:space="0" w:color="auto"/>
        <w:bottom w:val="none" w:sz="0" w:space="0" w:color="auto"/>
        <w:right w:val="none" w:sz="0" w:space="0" w:color="auto"/>
      </w:divBdr>
    </w:div>
    <w:div w:id="1561399202">
      <w:bodyDiv w:val="1"/>
      <w:marLeft w:val="0"/>
      <w:marRight w:val="0"/>
      <w:marTop w:val="0"/>
      <w:marBottom w:val="0"/>
      <w:divBdr>
        <w:top w:val="none" w:sz="0" w:space="0" w:color="auto"/>
        <w:left w:val="none" w:sz="0" w:space="0" w:color="auto"/>
        <w:bottom w:val="none" w:sz="0" w:space="0" w:color="auto"/>
        <w:right w:val="none" w:sz="0" w:space="0" w:color="auto"/>
      </w:divBdr>
    </w:div>
    <w:div w:id="1574388281">
      <w:bodyDiv w:val="1"/>
      <w:marLeft w:val="0"/>
      <w:marRight w:val="0"/>
      <w:marTop w:val="0"/>
      <w:marBottom w:val="0"/>
      <w:divBdr>
        <w:top w:val="none" w:sz="0" w:space="0" w:color="auto"/>
        <w:left w:val="none" w:sz="0" w:space="0" w:color="auto"/>
        <w:bottom w:val="none" w:sz="0" w:space="0" w:color="auto"/>
        <w:right w:val="none" w:sz="0" w:space="0" w:color="auto"/>
      </w:divBdr>
    </w:div>
    <w:div w:id="1609698267">
      <w:bodyDiv w:val="1"/>
      <w:marLeft w:val="0"/>
      <w:marRight w:val="0"/>
      <w:marTop w:val="0"/>
      <w:marBottom w:val="0"/>
      <w:divBdr>
        <w:top w:val="none" w:sz="0" w:space="0" w:color="auto"/>
        <w:left w:val="none" w:sz="0" w:space="0" w:color="auto"/>
        <w:bottom w:val="none" w:sz="0" w:space="0" w:color="auto"/>
        <w:right w:val="none" w:sz="0" w:space="0" w:color="auto"/>
      </w:divBdr>
    </w:div>
    <w:div w:id="1767648616">
      <w:bodyDiv w:val="1"/>
      <w:marLeft w:val="0"/>
      <w:marRight w:val="0"/>
      <w:marTop w:val="0"/>
      <w:marBottom w:val="0"/>
      <w:divBdr>
        <w:top w:val="none" w:sz="0" w:space="0" w:color="auto"/>
        <w:left w:val="none" w:sz="0" w:space="0" w:color="auto"/>
        <w:bottom w:val="none" w:sz="0" w:space="0" w:color="auto"/>
        <w:right w:val="none" w:sz="0" w:space="0" w:color="auto"/>
      </w:divBdr>
    </w:div>
    <w:div w:id="1909920960">
      <w:bodyDiv w:val="1"/>
      <w:marLeft w:val="0"/>
      <w:marRight w:val="0"/>
      <w:marTop w:val="0"/>
      <w:marBottom w:val="0"/>
      <w:divBdr>
        <w:top w:val="none" w:sz="0" w:space="0" w:color="auto"/>
        <w:left w:val="none" w:sz="0" w:space="0" w:color="auto"/>
        <w:bottom w:val="none" w:sz="0" w:space="0" w:color="auto"/>
        <w:right w:val="none" w:sz="0" w:space="0" w:color="auto"/>
      </w:divBdr>
    </w:div>
    <w:div w:id="2020816669">
      <w:bodyDiv w:val="1"/>
      <w:marLeft w:val="0"/>
      <w:marRight w:val="0"/>
      <w:marTop w:val="0"/>
      <w:marBottom w:val="0"/>
      <w:divBdr>
        <w:top w:val="none" w:sz="0" w:space="0" w:color="auto"/>
        <w:left w:val="none" w:sz="0" w:space="0" w:color="auto"/>
        <w:bottom w:val="none" w:sz="0" w:space="0" w:color="auto"/>
        <w:right w:val="none" w:sz="0" w:space="0" w:color="auto"/>
      </w:divBdr>
    </w:div>
    <w:div w:id="2064983272">
      <w:bodyDiv w:val="1"/>
      <w:marLeft w:val="0"/>
      <w:marRight w:val="0"/>
      <w:marTop w:val="0"/>
      <w:marBottom w:val="0"/>
      <w:divBdr>
        <w:top w:val="none" w:sz="0" w:space="0" w:color="auto"/>
        <w:left w:val="none" w:sz="0" w:space="0" w:color="auto"/>
        <w:bottom w:val="none" w:sz="0" w:space="0" w:color="auto"/>
        <w:right w:val="none" w:sz="0" w:space="0" w:color="auto"/>
      </w:divBdr>
    </w:div>
    <w:div w:id="211185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or@infrastratapl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land-wolff.com" TargetMode="External"/><Relationship Id="rId5" Type="http://schemas.openxmlformats.org/officeDocument/2006/relationships/numbering" Target="numbering.xml"/><Relationship Id="rId15" Type="http://schemas.openxmlformats.org/officeDocument/2006/relationships/hyperlink" Target="http://www.infrastratapl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AC5AB7148C149A997222E9A332A5C" ma:contentTypeVersion="9" ma:contentTypeDescription="Create a new document." ma:contentTypeScope="" ma:versionID="00fb8c68d2364642bf475292dbac3bdb">
  <xsd:schema xmlns:xsd="http://www.w3.org/2001/XMLSchema" xmlns:xs="http://www.w3.org/2001/XMLSchema" xmlns:p="http://schemas.microsoft.com/office/2006/metadata/properties" xmlns:ns3="72a159ca-10e7-436a-b209-5d30683dfeea" targetNamespace="http://schemas.microsoft.com/office/2006/metadata/properties" ma:root="true" ma:fieldsID="2272c47bbdffb36c1772bcf813be473f" ns3:_="">
    <xsd:import namespace="72a159ca-10e7-436a-b209-5d30683dfe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159ca-10e7-436a-b209-5d30683df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740C-D3CC-4CF4-9D1D-96FE9AD3A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4655E-1208-4B12-A821-02E8386F0E4D}">
  <ds:schemaRefs>
    <ds:schemaRef ds:uri="http://schemas.microsoft.com/sharepoint/v3/contenttype/forms"/>
  </ds:schemaRefs>
</ds:datastoreItem>
</file>

<file path=customXml/itemProps3.xml><?xml version="1.0" encoding="utf-8"?>
<ds:datastoreItem xmlns:ds="http://schemas.openxmlformats.org/officeDocument/2006/customXml" ds:itemID="{310F679C-3009-49DC-B77F-020ACA37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159ca-10e7-436a-b209-5d30683df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2004F-15E1-44FC-9FE0-59E370E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8370</Words>
  <Characters>47710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ACCOUNTANTS’ REPORT ON PORTLAND GAS LIMITED</vt:lpstr>
    </vt:vector>
  </TitlesOfParts>
  <Company>XC360</Company>
  <LinksUpToDate>false</LinksUpToDate>
  <CharactersWithSpaces>55969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ACCOUNTANTS’ REPORT ON PORTLAND GAS LIMITED</dc:title>
  <dc:creator>Craig Gouws</dc:creator>
  <cp:lastModifiedBy>Arun Raman</cp:lastModifiedBy>
  <cp:revision>2</cp:revision>
  <dcterms:created xsi:type="dcterms:W3CDTF">2021-10-31T12:24:00Z</dcterms:created>
  <dcterms:modified xsi:type="dcterms:W3CDTF">2021-10-31T12:24:00Z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for Office 365</vt:lpwstr>
  </property>
  <property fmtid="{D5CDD505-2E9C-101B-9397-08002B2CF9AE}" pid="4" name="LastSaved">
    <vt:filetime>2020-04-08T00:00:00Z</vt:filetime>
  </property>
  <property fmtid="{D5CDD505-2E9C-101B-9397-08002B2CF9AE}" pid="5" name="ContentTypeId">
    <vt:lpwstr>0x010100275AC5AB7148C149A997222E9A332A5C</vt:lpwstr>
  </property>
</Properties>
</file>