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99E2B" w14:textId="61D400BA" w:rsidR="00977031" w:rsidRPr="007A6D25" w:rsidRDefault="005A561E" w:rsidP="00977031">
      <w:pPr>
        <w:pStyle w:val="eh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ef"/>
          <w:rFonts w:asciiTheme="minorHAnsi" w:hAnsiTheme="minorHAnsi" w:cstheme="minorHAnsi"/>
          <w:color w:val="000000"/>
          <w:sz w:val="22"/>
          <w:szCs w:val="22"/>
        </w:rPr>
        <w:t>25 May</w:t>
      </w:r>
      <w:r w:rsidR="00977031" w:rsidRPr="007A6D25">
        <w:rPr>
          <w:rStyle w:val="ef"/>
          <w:rFonts w:asciiTheme="minorHAnsi" w:hAnsiTheme="minorHAnsi" w:cstheme="minorHAnsi"/>
          <w:color w:val="000000"/>
          <w:sz w:val="22"/>
          <w:szCs w:val="22"/>
        </w:rPr>
        <w:t xml:space="preserve"> 2021</w:t>
      </w:r>
    </w:p>
    <w:p w14:paraId="0255A6F9" w14:textId="77777777" w:rsidR="00977031" w:rsidRPr="007A6D25" w:rsidRDefault="00977031" w:rsidP="00977031">
      <w:pPr>
        <w:pStyle w:val="ei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A6D25">
        <w:rPr>
          <w:rStyle w:val="ef"/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</w:p>
    <w:p w14:paraId="2AF35FA5" w14:textId="77777777" w:rsidR="00977031" w:rsidRPr="007A6D25" w:rsidRDefault="00977031" w:rsidP="00977031">
      <w:pPr>
        <w:pStyle w:val="ei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A6D25">
        <w:rPr>
          <w:rStyle w:val="ef"/>
          <w:rFonts w:asciiTheme="minorHAnsi" w:hAnsiTheme="minorHAnsi" w:cstheme="minorHAnsi"/>
          <w:b/>
          <w:bCs/>
          <w:color w:val="000000"/>
          <w:sz w:val="22"/>
          <w:szCs w:val="22"/>
        </w:rPr>
        <w:t>InfraStrata plc</w:t>
      </w:r>
    </w:p>
    <w:p w14:paraId="55A917D5" w14:textId="77777777" w:rsidR="00977031" w:rsidRPr="007A6D25" w:rsidRDefault="00977031" w:rsidP="00977031">
      <w:pPr>
        <w:pStyle w:val="ej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7A6D25">
        <w:rPr>
          <w:rStyle w:val="ef"/>
          <w:rFonts w:asciiTheme="minorHAnsi" w:hAnsiTheme="minorHAnsi" w:cstheme="minorHAnsi"/>
          <w:color w:val="000000"/>
          <w:sz w:val="22"/>
          <w:szCs w:val="22"/>
        </w:rPr>
        <w:t>("InfraStrata" or the "Company")</w:t>
      </w:r>
    </w:p>
    <w:p w14:paraId="53041D85" w14:textId="77777777" w:rsidR="00977031" w:rsidRPr="007A6D25" w:rsidRDefault="00977031" w:rsidP="00977031">
      <w:pPr>
        <w:pStyle w:val="eh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A6D25">
        <w:rPr>
          <w:rStyle w:val="ef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FED5AAB" w14:textId="0477CE6C" w:rsidR="00977031" w:rsidRPr="007A6D25" w:rsidRDefault="00977031" w:rsidP="00977031">
      <w:pPr>
        <w:pStyle w:val="ei"/>
        <w:spacing w:before="0" w:beforeAutospacing="0" w:after="0" w:afterAutospacing="0"/>
        <w:jc w:val="center"/>
        <w:rPr>
          <w:rStyle w:val="ef"/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A6D25">
        <w:rPr>
          <w:rStyle w:val="ef"/>
          <w:rFonts w:asciiTheme="minorHAnsi" w:hAnsiTheme="minorHAnsi" w:cstheme="minorHAnsi"/>
          <w:b/>
          <w:bCs/>
          <w:color w:val="000000"/>
          <w:sz w:val="22"/>
          <w:szCs w:val="22"/>
        </w:rPr>
        <w:t>Result of GM</w:t>
      </w:r>
    </w:p>
    <w:p w14:paraId="2FBC4CC8" w14:textId="420522DD" w:rsidR="00977031" w:rsidRPr="007A6D25" w:rsidRDefault="00092CA0" w:rsidP="00977031">
      <w:pPr>
        <w:pStyle w:val="ei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24 May</w:t>
      </w:r>
      <w:r w:rsidR="00977031" w:rsidRPr="007A6D25">
        <w:rPr>
          <w:rFonts w:asciiTheme="minorHAnsi" w:hAnsiTheme="minorHAnsi" w:cstheme="minorHAnsi"/>
        </w:rPr>
        <w:t xml:space="preserve"> 2021</w:t>
      </w:r>
    </w:p>
    <w:p w14:paraId="65DA5564" w14:textId="77777777" w:rsidR="00977031" w:rsidRPr="007A6D25" w:rsidRDefault="00977031" w:rsidP="00977031">
      <w:pPr>
        <w:pStyle w:val="ei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40ADB23" w14:textId="18FC734A" w:rsidR="00977031" w:rsidRPr="007A6D25" w:rsidRDefault="00977031" w:rsidP="00977031">
      <w:pPr>
        <w:rPr>
          <w:rFonts w:cstheme="minorHAnsi"/>
        </w:rPr>
      </w:pPr>
      <w:r w:rsidRPr="007A6D25">
        <w:rPr>
          <w:rFonts w:cstheme="minorHAnsi"/>
        </w:rPr>
        <w:t xml:space="preserve">The Company announces the results of voting at its General Meeting held on </w:t>
      </w:r>
      <w:r w:rsidR="00092CA0">
        <w:rPr>
          <w:rFonts w:cstheme="minorHAnsi"/>
        </w:rPr>
        <w:t>Monday, 24 May</w:t>
      </w:r>
      <w:r w:rsidRPr="007A6D25">
        <w:rPr>
          <w:rFonts w:cstheme="minorHAnsi"/>
        </w:rPr>
        <w:t xml:space="preserve"> 2021 and confirms that all resolutions were passed with majorities as set out below. All resolutions were taken on poll. </w:t>
      </w:r>
    </w:p>
    <w:p w14:paraId="2F858038" w14:textId="77777777" w:rsidR="00977031" w:rsidRPr="007A6D25" w:rsidRDefault="00977031" w:rsidP="00977031">
      <w:pPr>
        <w:rPr>
          <w:rFonts w:cstheme="minorHAnsi"/>
        </w:rPr>
      </w:pPr>
      <w:r w:rsidRPr="007A6D25">
        <w:rPr>
          <w:rFonts w:cstheme="minorHAnsi"/>
        </w:rPr>
        <w:t>Resolutions 2 were proposed as Ordinary Resolutions. The results were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"/>
        <w:gridCol w:w="1513"/>
        <w:gridCol w:w="1218"/>
        <w:gridCol w:w="812"/>
        <w:gridCol w:w="960"/>
        <w:gridCol w:w="800"/>
        <w:gridCol w:w="1218"/>
        <w:gridCol w:w="874"/>
        <w:gridCol w:w="1262"/>
      </w:tblGrid>
      <w:tr w:rsidR="00977031" w:rsidRPr="007A6D25" w14:paraId="6661CC37" w14:textId="77777777" w:rsidTr="006144B9">
        <w:tc>
          <w:tcPr>
            <w:tcW w:w="2002" w:type="dxa"/>
            <w:gridSpan w:val="2"/>
          </w:tcPr>
          <w:p w14:paraId="2F94A828" w14:textId="77777777" w:rsidR="00977031" w:rsidRPr="007A6D25" w:rsidRDefault="00977031" w:rsidP="006144B9">
            <w:pPr>
              <w:rPr>
                <w:rFonts w:cstheme="minorHAnsi"/>
              </w:rPr>
            </w:pPr>
            <w:r w:rsidRPr="007A6D25">
              <w:rPr>
                <w:rFonts w:cstheme="minorHAnsi"/>
              </w:rPr>
              <w:t>Resolution</w:t>
            </w:r>
          </w:p>
        </w:tc>
        <w:tc>
          <w:tcPr>
            <w:tcW w:w="1002" w:type="dxa"/>
          </w:tcPr>
          <w:p w14:paraId="7503C8C4" w14:textId="77777777" w:rsidR="00977031" w:rsidRPr="007A6D25" w:rsidRDefault="00977031" w:rsidP="006144B9">
            <w:pPr>
              <w:rPr>
                <w:rFonts w:cstheme="minorHAnsi"/>
              </w:rPr>
            </w:pPr>
            <w:r w:rsidRPr="007A6D25">
              <w:rPr>
                <w:rFonts w:cstheme="minorHAnsi"/>
              </w:rPr>
              <w:t>Votes For*</w:t>
            </w:r>
          </w:p>
        </w:tc>
        <w:tc>
          <w:tcPr>
            <w:tcW w:w="1002" w:type="dxa"/>
          </w:tcPr>
          <w:p w14:paraId="2D39F6EC" w14:textId="77777777" w:rsidR="00977031" w:rsidRPr="007A6D25" w:rsidRDefault="00977031" w:rsidP="006144B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As a </w:t>
            </w:r>
            <w:r w:rsidRPr="007A6D25">
              <w:rPr>
                <w:rFonts w:cstheme="minorHAnsi"/>
              </w:rPr>
              <w:t>%</w:t>
            </w:r>
            <w:r>
              <w:rPr>
                <w:rFonts w:cstheme="minorHAnsi"/>
              </w:rPr>
              <w:t xml:space="preserve"> of total votes cast</w:t>
            </w:r>
          </w:p>
        </w:tc>
        <w:tc>
          <w:tcPr>
            <w:tcW w:w="1002" w:type="dxa"/>
          </w:tcPr>
          <w:p w14:paraId="23C28EFB" w14:textId="77777777" w:rsidR="00977031" w:rsidRPr="007A6D25" w:rsidRDefault="00977031" w:rsidP="006144B9">
            <w:pPr>
              <w:rPr>
                <w:rFonts w:cstheme="minorHAnsi"/>
              </w:rPr>
            </w:pPr>
            <w:r w:rsidRPr="007A6D25">
              <w:rPr>
                <w:rFonts w:cstheme="minorHAnsi"/>
              </w:rPr>
              <w:t>Votes Against</w:t>
            </w:r>
          </w:p>
        </w:tc>
        <w:tc>
          <w:tcPr>
            <w:tcW w:w="1002" w:type="dxa"/>
          </w:tcPr>
          <w:p w14:paraId="79F40574" w14:textId="77777777" w:rsidR="00977031" w:rsidRPr="007A6D25" w:rsidRDefault="00977031" w:rsidP="006144B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As a </w:t>
            </w:r>
            <w:r w:rsidRPr="007A6D25">
              <w:rPr>
                <w:rFonts w:cstheme="minorHAnsi"/>
              </w:rPr>
              <w:t>%</w:t>
            </w:r>
            <w:r>
              <w:rPr>
                <w:rFonts w:cstheme="minorHAnsi"/>
              </w:rPr>
              <w:t xml:space="preserve"> of total votes cast</w:t>
            </w:r>
          </w:p>
        </w:tc>
        <w:tc>
          <w:tcPr>
            <w:tcW w:w="1002" w:type="dxa"/>
          </w:tcPr>
          <w:p w14:paraId="21821DEA" w14:textId="77777777" w:rsidR="00977031" w:rsidRPr="007A6D25" w:rsidRDefault="00977031" w:rsidP="006144B9">
            <w:pPr>
              <w:rPr>
                <w:rFonts w:cstheme="minorHAnsi"/>
              </w:rPr>
            </w:pPr>
            <w:r w:rsidRPr="007A6D25">
              <w:rPr>
                <w:rFonts w:cstheme="minorHAnsi"/>
              </w:rPr>
              <w:t>Total votes validly cast</w:t>
            </w:r>
          </w:p>
        </w:tc>
        <w:tc>
          <w:tcPr>
            <w:tcW w:w="1002" w:type="dxa"/>
          </w:tcPr>
          <w:p w14:paraId="17C26DB5" w14:textId="77777777" w:rsidR="00977031" w:rsidRPr="007A6D25" w:rsidRDefault="00977031" w:rsidP="006144B9">
            <w:pPr>
              <w:rPr>
                <w:rFonts w:cstheme="minorHAnsi"/>
              </w:rPr>
            </w:pPr>
            <w:r w:rsidRPr="007A6D25">
              <w:rPr>
                <w:rFonts w:cstheme="minorHAnsi"/>
              </w:rPr>
              <w:t>Total votes cast as % of issued share capital</w:t>
            </w:r>
          </w:p>
        </w:tc>
        <w:tc>
          <w:tcPr>
            <w:tcW w:w="1002" w:type="dxa"/>
          </w:tcPr>
          <w:p w14:paraId="18F7681C" w14:textId="77777777" w:rsidR="00977031" w:rsidRPr="007A6D25" w:rsidRDefault="00977031" w:rsidP="006144B9">
            <w:pPr>
              <w:rPr>
                <w:rFonts w:cstheme="minorHAnsi"/>
              </w:rPr>
            </w:pPr>
            <w:r w:rsidRPr="007A6D25">
              <w:rPr>
                <w:rFonts w:cstheme="minorHAnsi"/>
              </w:rPr>
              <w:t>Votes Withheld**</w:t>
            </w:r>
          </w:p>
        </w:tc>
      </w:tr>
      <w:tr w:rsidR="00977031" w:rsidRPr="007A6D25" w14:paraId="59CE4F28" w14:textId="77777777" w:rsidTr="006144B9">
        <w:tc>
          <w:tcPr>
            <w:tcW w:w="421" w:type="dxa"/>
          </w:tcPr>
          <w:p w14:paraId="50E45636" w14:textId="77777777" w:rsidR="00977031" w:rsidRPr="007A6D25" w:rsidRDefault="00977031" w:rsidP="006144B9">
            <w:pPr>
              <w:rPr>
                <w:rFonts w:cstheme="minorHAnsi"/>
              </w:rPr>
            </w:pPr>
            <w:r w:rsidRPr="007A6D25">
              <w:rPr>
                <w:rFonts w:cstheme="minorHAnsi"/>
              </w:rPr>
              <w:t>1</w:t>
            </w:r>
          </w:p>
        </w:tc>
        <w:tc>
          <w:tcPr>
            <w:tcW w:w="1581" w:type="dxa"/>
          </w:tcPr>
          <w:p w14:paraId="26F24361" w14:textId="77777777" w:rsidR="00700F8E" w:rsidRPr="00700F8E" w:rsidRDefault="00700F8E" w:rsidP="00700F8E">
            <w:pPr>
              <w:rPr>
                <w:rFonts w:cstheme="minorHAnsi"/>
              </w:rPr>
            </w:pPr>
            <w:r w:rsidRPr="00700F8E">
              <w:rPr>
                <w:rFonts w:cstheme="minorHAnsi"/>
              </w:rPr>
              <w:t>Authority to allot the Second Placing Shares and the Open Offer Shares and</w:t>
            </w:r>
          </w:p>
          <w:p w14:paraId="62CC3599" w14:textId="370FAFE3" w:rsidR="00977031" w:rsidRPr="007A6D25" w:rsidRDefault="00700F8E" w:rsidP="00700F8E">
            <w:pPr>
              <w:rPr>
                <w:rFonts w:cstheme="minorHAnsi"/>
              </w:rPr>
            </w:pPr>
            <w:r w:rsidRPr="00700F8E">
              <w:rPr>
                <w:rFonts w:cstheme="minorHAnsi"/>
              </w:rPr>
              <w:t>disapplication of pre-emption rights</w:t>
            </w:r>
          </w:p>
        </w:tc>
        <w:tc>
          <w:tcPr>
            <w:tcW w:w="1002" w:type="dxa"/>
          </w:tcPr>
          <w:p w14:paraId="4F312292" w14:textId="41D47FEB" w:rsidR="00977031" w:rsidRPr="007A6D25" w:rsidRDefault="00977031" w:rsidP="006144B9">
            <w:pPr>
              <w:rPr>
                <w:rFonts w:cstheme="minorHAnsi"/>
              </w:rPr>
            </w:pPr>
            <w:r w:rsidRPr="007A6D25">
              <w:rPr>
                <w:rFonts w:cstheme="minorHAnsi"/>
              </w:rPr>
              <w:t>29,</w:t>
            </w:r>
            <w:r w:rsidR="00282633">
              <w:rPr>
                <w:rFonts w:cstheme="minorHAnsi"/>
              </w:rPr>
              <w:t>069,684</w:t>
            </w:r>
          </w:p>
        </w:tc>
        <w:tc>
          <w:tcPr>
            <w:tcW w:w="1002" w:type="dxa"/>
          </w:tcPr>
          <w:p w14:paraId="2B081BC6" w14:textId="7E616CFB" w:rsidR="00977031" w:rsidRPr="007A6D25" w:rsidRDefault="00977031" w:rsidP="006144B9">
            <w:pPr>
              <w:rPr>
                <w:rFonts w:cstheme="minorHAnsi"/>
              </w:rPr>
            </w:pPr>
            <w:r w:rsidRPr="007A6D25">
              <w:rPr>
                <w:rFonts w:cstheme="minorHAnsi"/>
              </w:rPr>
              <w:t>99.</w:t>
            </w:r>
            <w:r w:rsidR="00A7207C">
              <w:rPr>
                <w:rFonts w:cstheme="minorHAnsi"/>
              </w:rPr>
              <w:t>53</w:t>
            </w:r>
          </w:p>
        </w:tc>
        <w:tc>
          <w:tcPr>
            <w:tcW w:w="1002" w:type="dxa"/>
          </w:tcPr>
          <w:p w14:paraId="711E4182" w14:textId="21F1AD1D" w:rsidR="00977031" w:rsidRPr="007A6D25" w:rsidRDefault="00A7207C" w:rsidP="006144B9">
            <w:pPr>
              <w:rPr>
                <w:rFonts w:cstheme="minorHAnsi"/>
              </w:rPr>
            </w:pPr>
            <w:r>
              <w:rPr>
                <w:rFonts w:cstheme="minorHAnsi"/>
              </w:rPr>
              <w:t>137,355</w:t>
            </w:r>
          </w:p>
        </w:tc>
        <w:tc>
          <w:tcPr>
            <w:tcW w:w="1002" w:type="dxa"/>
          </w:tcPr>
          <w:p w14:paraId="30C41C7A" w14:textId="6D832CE3" w:rsidR="00977031" w:rsidRPr="007A6D25" w:rsidRDefault="00977031" w:rsidP="006144B9">
            <w:pPr>
              <w:rPr>
                <w:rFonts w:cstheme="minorHAnsi"/>
              </w:rPr>
            </w:pPr>
            <w:r w:rsidRPr="007A6D25">
              <w:rPr>
                <w:rFonts w:cstheme="minorHAnsi"/>
              </w:rPr>
              <w:t>0.</w:t>
            </w:r>
            <w:r w:rsidR="006B52BF">
              <w:rPr>
                <w:rFonts w:cstheme="minorHAnsi"/>
              </w:rPr>
              <w:t>47</w:t>
            </w:r>
          </w:p>
        </w:tc>
        <w:tc>
          <w:tcPr>
            <w:tcW w:w="1002" w:type="dxa"/>
          </w:tcPr>
          <w:p w14:paraId="6E853EB9" w14:textId="344D9ED3" w:rsidR="00977031" w:rsidRPr="007A6D25" w:rsidRDefault="00977031" w:rsidP="006144B9">
            <w:pPr>
              <w:rPr>
                <w:rFonts w:cstheme="minorHAnsi"/>
              </w:rPr>
            </w:pPr>
            <w:r w:rsidRPr="007A6D25">
              <w:rPr>
                <w:rFonts w:cstheme="minorHAnsi"/>
              </w:rPr>
              <w:t>29</w:t>
            </w:r>
            <w:r w:rsidR="00DC23B2">
              <w:rPr>
                <w:rFonts w:cstheme="minorHAnsi"/>
              </w:rPr>
              <w:t>,207,039</w:t>
            </w:r>
          </w:p>
        </w:tc>
        <w:tc>
          <w:tcPr>
            <w:tcW w:w="1002" w:type="dxa"/>
          </w:tcPr>
          <w:p w14:paraId="08C42736" w14:textId="777F8E5C" w:rsidR="00977031" w:rsidRPr="007A6D25" w:rsidRDefault="000126A1" w:rsidP="006144B9">
            <w:pPr>
              <w:rPr>
                <w:rFonts w:cstheme="minorHAnsi"/>
              </w:rPr>
            </w:pPr>
            <w:r>
              <w:rPr>
                <w:rFonts w:cstheme="minorHAnsi"/>
              </w:rPr>
              <w:t>99</w:t>
            </w:r>
            <w:r w:rsidR="006B1721">
              <w:rPr>
                <w:rFonts w:cstheme="minorHAnsi"/>
              </w:rPr>
              <w:t>.99</w:t>
            </w:r>
          </w:p>
        </w:tc>
        <w:tc>
          <w:tcPr>
            <w:tcW w:w="1002" w:type="dxa"/>
          </w:tcPr>
          <w:p w14:paraId="543A40A1" w14:textId="7C305AE9" w:rsidR="00977031" w:rsidRPr="007A6D25" w:rsidRDefault="006B1721" w:rsidP="006144B9">
            <w:pPr>
              <w:rPr>
                <w:rFonts w:cstheme="minorHAnsi"/>
              </w:rPr>
            </w:pPr>
            <w:r>
              <w:rPr>
                <w:rFonts w:cstheme="minorHAnsi"/>
              </w:rPr>
              <w:t>22,600</w:t>
            </w:r>
          </w:p>
        </w:tc>
      </w:tr>
      <w:tr w:rsidR="00977031" w:rsidRPr="007A6D25" w14:paraId="0C7CAEA6" w14:textId="77777777" w:rsidTr="006144B9">
        <w:tc>
          <w:tcPr>
            <w:tcW w:w="421" w:type="dxa"/>
          </w:tcPr>
          <w:p w14:paraId="5ABF963C" w14:textId="77777777" w:rsidR="00977031" w:rsidRPr="007A6D25" w:rsidRDefault="00977031" w:rsidP="006144B9">
            <w:pPr>
              <w:rPr>
                <w:rFonts w:cstheme="minorHAnsi"/>
              </w:rPr>
            </w:pPr>
            <w:r w:rsidRPr="007A6D25">
              <w:rPr>
                <w:rFonts w:cstheme="minorHAnsi"/>
              </w:rPr>
              <w:t>2</w:t>
            </w:r>
          </w:p>
        </w:tc>
        <w:tc>
          <w:tcPr>
            <w:tcW w:w="1581" w:type="dxa"/>
          </w:tcPr>
          <w:p w14:paraId="02F35A6F" w14:textId="73D41BA9" w:rsidR="00977031" w:rsidRPr="007A6D25" w:rsidRDefault="00CC0F19" w:rsidP="006144B9">
            <w:pPr>
              <w:rPr>
                <w:rFonts w:cstheme="minorHAnsi"/>
              </w:rPr>
            </w:pPr>
            <w:r>
              <w:t>Directors’ authority to allot shares</w:t>
            </w:r>
          </w:p>
        </w:tc>
        <w:tc>
          <w:tcPr>
            <w:tcW w:w="1002" w:type="dxa"/>
          </w:tcPr>
          <w:p w14:paraId="4CE1179C" w14:textId="787E0485" w:rsidR="00977031" w:rsidRPr="007A6D25" w:rsidRDefault="00977031" w:rsidP="006144B9">
            <w:pPr>
              <w:rPr>
                <w:rFonts w:cstheme="minorHAnsi"/>
              </w:rPr>
            </w:pPr>
            <w:r w:rsidRPr="007A6D25">
              <w:rPr>
                <w:rFonts w:cstheme="minorHAnsi"/>
              </w:rPr>
              <w:t>29,</w:t>
            </w:r>
            <w:r w:rsidR="00056FD9">
              <w:rPr>
                <w:rFonts w:cstheme="minorHAnsi"/>
              </w:rPr>
              <w:t>069684</w:t>
            </w:r>
          </w:p>
        </w:tc>
        <w:tc>
          <w:tcPr>
            <w:tcW w:w="1002" w:type="dxa"/>
          </w:tcPr>
          <w:p w14:paraId="725399DB" w14:textId="55F56059" w:rsidR="00977031" w:rsidRPr="007A6D25" w:rsidRDefault="00977031" w:rsidP="006144B9">
            <w:pPr>
              <w:rPr>
                <w:rFonts w:cstheme="minorHAnsi"/>
              </w:rPr>
            </w:pPr>
            <w:r w:rsidRPr="007A6D25">
              <w:rPr>
                <w:rFonts w:cstheme="minorHAnsi"/>
              </w:rPr>
              <w:t>99.</w:t>
            </w:r>
            <w:r w:rsidR="00A7207C">
              <w:rPr>
                <w:rFonts w:cstheme="minorHAnsi"/>
              </w:rPr>
              <w:t>53</w:t>
            </w:r>
          </w:p>
        </w:tc>
        <w:tc>
          <w:tcPr>
            <w:tcW w:w="1002" w:type="dxa"/>
          </w:tcPr>
          <w:p w14:paraId="0C4263C4" w14:textId="755F19C4" w:rsidR="00977031" w:rsidRPr="007A6D25" w:rsidRDefault="00977031" w:rsidP="006144B9">
            <w:pPr>
              <w:rPr>
                <w:rFonts w:cstheme="minorHAnsi"/>
              </w:rPr>
            </w:pPr>
            <w:r w:rsidRPr="007A6D25">
              <w:rPr>
                <w:rFonts w:cstheme="minorHAnsi"/>
              </w:rPr>
              <w:t>1</w:t>
            </w:r>
            <w:r w:rsidR="001B1256">
              <w:rPr>
                <w:rFonts w:cstheme="minorHAnsi"/>
              </w:rPr>
              <w:t>37,355</w:t>
            </w:r>
          </w:p>
        </w:tc>
        <w:tc>
          <w:tcPr>
            <w:tcW w:w="1002" w:type="dxa"/>
          </w:tcPr>
          <w:p w14:paraId="69FA1DC2" w14:textId="43D6B09C" w:rsidR="00977031" w:rsidRPr="007A6D25" w:rsidRDefault="00977031" w:rsidP="006144B9">
            <w:pPr>
              <w:rPr>
                <w:rFonts w:cstheme="minorHAnsi"/>
              </w:rPr>
            </w:pPr>
            <w:r w:rsidRPr="007A6D25">
              <w:rPr>
                <w:rFonts w:cstheme="minorHAnsi"/>
              </w:rPr>
              <w:t>0.</w:t>
            </w:r>
            <w:r w:rsidR="00C14A52">
              <w:rPr>
                <w:rFonts w:cstheme="minorHAnsi"/>
              </w:rPr>
              <w:t>47</w:t>
            </w:r>
          </w:p>
        </w:tc>
        <w:tc>
          <w:tcPr>
            <w:tcW w:w="1002" w:type="dxa"/>
          </w:tcPr>
          <w:p w14:paraId="3B548739" w14:textId="48C24B26" w:rsidR="00977031" w:rsidRPr="007A6D25" w:rsidRDefault="00977031" w:rsidP="006144B9">
            <w:pPr>
              <w:rPr>
                <w:rFonts w:cstheme="minorHAnsi"/>
              </w:rPr>
            </w:pPr>
            <w:r w:rsidRPr="007A6D25">
              <w:rPr>
                <w:rFonts w:cstheme="minorHAnsi"/>
              </w:rPr>
              <w:t>29,</w:t>
            </w:r>
            <w:r w:rsidR="00DC23B2">
              <w:rPr>
                <w:rFonts w:cstheme="minorHAnsi"/>
              </w:rPr>
              <w:t>207</w:t>
            </w:r>
            <w:r w:rsidR="00796202">
              <w:rPr>
                <w:rFonts w:cstheme="minorHAnsi"/>
              </w:rPr>
              <w:t>,039</w:t>
            </w:r>
          </w:p>
        </w:tc>
        <w:tc>
          <w:tcPr>
            <w:tcW w:w="1002" w:type="dxa"/>
          </w:tcPr>
          <w:p w14:paraId="34D47731" w14:textId="054F325C" w:rsidR="00977031" w:rsidRPr="007A6D25" w:rsidRDefault="006B1721" w:rsidP="006144B9">
            <w:pPr>
              <w:rPr>
                <w:rFonts w:cstheme="minorHAnsi"/>
              </w:rPr>
            </w:pPr>
            <w:r>
              <w:rPr>
                <w:rFonts w:cstheme="minorHAnsi"/>
              </w:rPr>
              <w:t>99.99</w:t>
            </w:r>
          </w:p>
        </w:tc>
        <w:tc>
          <w:tcPr>
            <w:tcW w:w="1002" w:type="dxa"/>
          </w:tcPr>
          <w:p w14:paraId="55ED5257" w14:textId="2FAE942A" w:rsidR="00977031" w:rsidRPr="007A6D25" w:rsidRDefault="006B1721" w:rsidP="006144B9">
            <w:pPr>
              <w:rPr>
                <w:rFonts w:cstheme="minorHAnsi"/>
              </w:rPr>
            </w:pPr>
            <w:r>
              <w:rPr>
                <w:rFonts w:cstheme="minorHAnsi"/>
              </w:rPr>
              <w:t>22,600</w:t>
            </w:r>
          </w:p>
        </w:tc>
      </w:tr>
      <w:tr w:rsidR="00CC0F19" w:rsidRPr="007A6D25" w14:paraId="2635889B" w14:textId="77777777" w:rsidTr="006144B9">
        <w:tc>
          <w:tcPr>
            <w:tcW w:w="421" w:type="dxa"/>
          </w:tcPr>
          <w:p w14:paraId="11C53B0F" w14:textId="6EC67840" w:rsidR="00CC0F19" w:rsidRPr="007A6D25" w:rsidRDefault="00CC0F19" w:rsidP="006144B9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581" w:type="dxa"/>
          </w:tcPr>
          <w:p w14:paraId="56777255" w14:textId="2013D95F" w:rsidR="00CC0F19" w:rsidRDefault="009D4830" w:rsidP="006144B9">
            <w:r>
              <w:t>Disapplication of pre-emption rights</w:t>
            </w:r>
          </w:p>
        </w:tc>
        <w:tc>
          <w:tcPr>
            <w:tcW w:w="1002" w:type="dxa"/>
          </w:tcPr>
          <w:p w14:paraId="3F6A1673" w14:textId="01F79289" w:rsidR="00CC0F19" w:rsidRPr="007A6D25" w:rsidRDefault="00A7207C" w:rsidP="006144B9">
            <w:pPr>
              <w:rPr>
                <w:rFonts w:cstheme="minorHAnsi"/>
              </w:rPr>
            </w:pPr>
            <w:r>
              <w:rPr>
                <w:rFonts w:cstheme="minorHAnsi"/>
              </w:rPr>
              <w:t>29,065,255</w:t>
            </w:r>
          </w:p>
        </w:tc>
        <w:tc>
          <w:tcPr>
            <w:tcW w:w="1002" w:type="dxa"/>
          </w:tcPr>
          <w:p w14:paraId="63EBFF02" w14:textId="512E64DF" w:rsidR="00CC0F19" w:rsidRPr="007A6D25" w:rsidRDefault="00A7207C" w:rsidP="006144B9">
            <w:pPr>
              <w:rPr>
                <w:rFonts w:cstheme="minorHAnsi"/>
              </w:rPr>
            </w:pPr>
            <w:r>
              <w:rPr>
                <w:rFonts w:cstheme="minorHAnsi"/>
              </w:rPr>
              <w:t>99.51</w:t>
            </w:r>
          </w:p>
        </w:tc>
        <w:tc>
          <w:tcPr>
            <w:tcW w:w="1002" w:type="dxa"/>
          </w:tcPr>
          <w:p w14:paraId="6FA2E9A2" w14:textId="5AB3D8AA" w:rsidR="00CC0F19" w:rsidRPr="007A6D25" w:rsidRDefault="001B1256" w:rsidP="006144B9">
            <w:pPr>
              <w:rPr>
                <w:rFonts w:cstheme="minorHAnsi"/>
              </w:rPr>
            </w:pPr>
            <w:r>
              <w:rPr>
                <w:rFonts w:cstheme="minorHAnsi"/>
              </w:rPr>
              <w:t>141</w:t>
            </w:r>
            <w:r w:rsidR="00E1063D">
              <w:rPr>
                <w:rFonts w:cstheme="minorHAnsi"/>
              </w:rPr>
              <w:t>,784</w:t>
            </w:r>
          </w:p>
        </w:tc>
        <w:tc>
          <w:tcPr>
            <w:tcW w:w="1002" w:type="dxa"/>
          </w:tcPr>
          <w:p w14:paraId="57E9D9FF" w14:textId="1149C496" w:rsidR="00CC0F19" w:rsidRPr="007A6D25" w:rsidRDefault="00C14A52" w:rsidP="006144B9">
            <w:pPr>
              <w:rPr>
                <w:rFonts w:cstheme="minorHAnsi"/>
              </w:rPr>
            </w:pPr>
            <w:r>
              <w:rPr>
                <w:rFonts w:cstheme="minorHAnsi"/>
              </w:rPr>
              <w:t>0.49</w:t>
            </w:r>
          </w:p>
        </w:tc>
        <w:tc>
          <w:tcPr>
            <w:tcW w:w="1002" w:type="dxa"/>
          </w:tcPr>
          <w:p w14:paraId="415CE613" w14:textId="37DC20D1" w:rsidR="00CC0F19" w:rsidRPr="007A6D25" w:rsidRDefault="00796202" w:rsidP="006144B9">
            <w:pPr>
              <w:rPr>
                <w:rFonts w:cstheme="minorHAnsi"/>
              </w:rPr>
            </w:pPr>
            <w:r>
              <w:rPr>
                <w:rFonts w:cstheme="minorHAnsi"/>
              </w:rPr>
              <w:t>29,207,039</w:t>
            </w:r>
          </w:p>
        </w:tc>
        <w:tc>
          <w:tcPr>
            <w:tcW w:w="1002" w:type="dxa"/>
          </w:tcPr>
          <w:p w14:paraId="23F349F6" w14:textId="6F0929E1" w:rsidR="00CC0F19" w:rsidRPr="000A5C9D" w:rsidRDefault="006B1721" w:rsidP="006144B9">
            <w:pPr>
              <w:rPr>
                <w:rFonts w:cstheme="minorHAnsi"/>
              </w:rPr>
            </w:pPr>
            <w:r>
              <w:rPr>
                <w:rFonts w:cstheme="minorHAnsi"/>
              </w:rPr>
              <w:t>99.99</w:t>
            </w:r>
          </w:p>
        </w:tc>
        <w:tc>
          <w:tcPr>
            <w:tcW w:w="1002" w:type="dxa"/>
          </w:tcPr>
          <w:p w14:paraId="47691ACA" w14:textId="5B372C0E" w:rsidR="00CC0F19" w:rsidRPr="007A6D25" w:rsidRDefault="006B1721" w:rsidP="006144B9">
            <w:pPr>
              <w:rPr>
                <w:rFonts w:cstheme="minorHAnsi"/>
              </w:rPr>
            </w:pPr>
            <w:r>
              <w:rPr>
                <w:rFonts w:cstheme="minorHAnsi"/>
              </w:rPr>
              <w:t>22,600</w:t>
            </w:r>
          </w:p>
        </w:tc>
      </w:tr>
    </w:tbl>
    <w:p w14:paraId="2644BE05" w14:textId="77777777" w:rsidR="00977031" w:rsidRDefault="00977031" w:rsidP="00977031">
      <w:pPr>
        <w:rPr>
          <w:rFonts w:cstheme="minorHAnsi"/>
        </w:rPr>
      </w:pPr>
    </w:p>
    <w:p w14:paraId="363A83A2" w14:textId="77777777" w:rsidR="00977031" w:rsidRDefault="00977031" w:rsidP="00977031">
      <w:r>
        <w:t xml:space="preserve">Notes: </w:t>
      </w:r>
    </w:p>
    <w:p w14:paraId="7DD8B211" w14:textId="77777777" w:rsidR="00977031" w:rsidRDefault="00977031" w:rsidP="00977031">
      <w:r>
        <w:t xml:space="preserve">* Includes discretionary votes. </w:t>
      </w:r>
    </w:p>
    <w:p w14:paraId="7D343CAB" w14:textId="77777777" w:rsidR="00977031" w:rsidRDefault="00977031" w:rsidP="00977031">
      <w:r>
        <w:t xml:space="preserve">** A vote withheld is not a vote in law and is not counted in the calculation of the votes for or against a resolution. </w:t>
      </w:r>
    </w:p>
    <w:p w14:paraId="4B444B57" w14:textId="4EB9C427" w:rsidR="00507A47" w:rsidRPr="005A561E" w:rsidRDefault="00977031">
      <w:pPr>
        <w:rPr>
          <w:rFonts w:cstheme="minorHAnsi"/>
        </w:rPr>
      </w:pPr>
      <w:r>
        <w:t>Every shareholder has one vote for every ordinary share held. As at 11.00 a.m. on 2</w:t>
      </w:r>
      <w:r w:rsidR="005A561E">
        <w:t>1</w:t>
      </w:r>
      <w:r w:rsidR="00C2254B">
        <w:t xml:space="preserve"> May</w:t>
      </w:r>
      <w:r>
        <w:t xml:space="preserve"> 2021 (being the record date and time for determining entitlement to vote at the Annual General Meeting), the issued share capital of the Company consisted of </w:t>
      </w:r>
      <w:r w:rsidR="00803DFF">
        <w:t>29</w:t>
      </w:r>
      <w:r w:rsidR="00F033DA">
        <w:t>,229,639</w:t>
      </w:r>
      <w:r>
        <w:t xml:space="preserve"> ordinary shares. The Company held </w:t>
      </w:r>
      <w:r w:rsidRPr="000A5C9D">
        <w:t>no</w:t>
      </w:r>
      <w:r>
        <w:t xml:space="preserve"> shares in Treasury. Therefore, the total number of voting rights in InfraStrata plc as at 11.00 a.m. on 2</w:t>
      </w:r>
      <w:r w:rsidR="005A561E">
        <w:t>1</w:t>
      </w:r>
      <w:r>
        <w:t xml:space="preserve"> </w:t>
      </w:r>
      <w:r w:rsidR="005A561E">
        <w:t>May</w:t>
      </w:r>
      <w:r>
        <w:t xml:space="preserve"> 2021 was also </w:t>
      </w:r>
      <w:r w:rsidR="00F033DA">
        <w:t>29,229,639</w:t>
      </w:r>
      <w:r>
        <w:t>.</w:t>
      </w:r>
    </w:p>
    <w:sectPr w:rsidR="00507A47" w:rsidRPr="005A56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031"/>
    <w:rsid w:val="000126A1"/>
    <w:rsid w:val="00056FD9"/>
    <w:rsid w:val="00092CA0"/>
    <w:rsid w:val="001B1256"/>
    <w:rsid w:val="002473B4"/>
    <w:rsid w:val="00282633"/>
    <w:rsid w:val="00377906"/>
    <w:rsid w:val="003869CD"/>
    <w:rsid w:val="004C01E1"/>
    <w:rsid w:val="00507A47"/>
    <w:rsid w:val="005A561E"/>
    <w:rsid w:val="00674CC7"/>
    <w:rsid w:val="006B1721"/>
    <w:rsid w:val="006B52BF"/>
    <w:rsid w:val="00700F8E"/>
    <w:rsid w:val="00796202"/>
    <w:rsid w:val="00803DFF"/>
    <w:rsid w:val="00977031"/>
    <w:rsid w:val="009D4830"/>
    <w:rsid w:val="00A7207C"/>
    <w:rsid w:val="00BC3D8F"/>
    <w:rsid w:val="00C14A52"/>
    <w:rsid w:val="00C2254B"/>
    <w:rsid w:val="00CC0F19"/>
    <w:rsid w:val="00DC23B2"/>
    <w:rsid w:val="00E1063D"/>
    <w:rsid w:val="00F033DA"/>
    <w:rsid w:val="00FF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3E0C1"/>
  <w15:chartTrackingRefBased/>
  <w15:docId w15:val="{71B9A756-785C-4F23-B4C9-1E57829A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7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h">
    <w:name w:val="eh"/>
    <w:basedOn w:val="Normal"/>
    <w:rsid w:val="00977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f">
    <w:name w:val="ef"/>
    <w:basedOn w:val="DefaultParagraphFont"/>
    <w:rsid w:val="00977031"/>
  </w:style>
  <w:style w:type="paragraph" w:customStyle="1" w:styleId="ei">
    <w:name w:val="ei"/>
    <w:basedOn w:val="Normal"/>
    <w:rsid w:val="00977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j">
    <w:name w:val="ej"/>
    <w:basedOn w:val="Normal"/>
    <w:rsid w:val="00977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1EABF2C328DF4094A204CB034B75BD" ma:contentTypeVersion="13" ma:contentTypeDescription="Create a new document." ma:contentTypeScope="" ma:versionID="e6d1dfb986de7e43d321c285f362acd1">
  <xsd:schema xmlns:xsd="http://www.w3.org/2001/XMLSchema" xmlns:xs="http://www.w3.org/2001/XMLSchema" xmlns:p="http://schemas.microsoft.com/office/2006/metadata/properties" xmlns:ns2="e6ca2e49-4a75-4594-b0c5-8f965c8106c2" xmlns:ns3="3b6a7ee1-2e18-4294-a947-c9c79fee5ff3" targetNamespace="http://schemas.microsoft.com/office/2006/metadata/properties" ma:root="true" ma:fieldsID="b1151754fb51424df5807877aea9c70c" ns2:_="" ns3:_="">
    <xsd:import namespace="e6ca2e49-4a75-4594-b0c5-8f965c8106c2"/>
    <xsd:import namespace="3b6a7ee1-2e18-4294-a947-c9c79fee5f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a2e49-4a75-4594-b0c5-8f965c8106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a7ee1-2e18-4294-a947-c9c79fee5ff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68B401-93B9-49E5-9B76-428BA969D2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F57802-0C1B-4C7E-853B-E6388D42B1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2608BB-382A-4987-A220-84F11ED658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Seena Shah</dc:creator>
  <cp:keywords/>
  <dc:description/>
  <cp:lastModifiedBy>Seena Shah</cp:lastModifiedBy>
  <cp:revision>27</cp:revision>
  <dcterms:created xsi:type="dcterms:W3CDTF">2021-09-14T11:04:00Z</dcterms:created>
  <dcterms:modified xsi:type="dcterms:W3CDTF">2021-09-14T12:29:00Z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0x010100F41EABF2C328DF4094A204CB034B75BD</vt:lpwstr>
  </property>
</Properties>
</file>